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宁海县鑫立模架有限公司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  <w:t>通知书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(2023)浙太安非事字第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91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号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各债权人：</w:t>
      </w:r>
    </w:p>
    <w:p>
      <w:pPr>
        <w:widowControl w:val="0"/>
        <w:spacing w:line="500" w:lineRule="exact"/>
        <w:ind w:firstLine="480" w:firstLineChars="200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default" w:ascii="宋体" w:hAnsi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default" w:ascii="宋体" w:hAnsi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日，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宁海县</w:t>
      </w:r>
      <w:r>
        <w:rPr>
          <w:rFonts w:hint="eastAsia" w:ascii="宋体" w:hAnsi="宋体" w:eastAsia="宋体" w:cs="宋体"/>
          <w:sz w:val="24"/>
          <w:szCs w:val="24"/>
        </w:rPr>
        <w:t>民法院作出（202</w:t>
      </w:r>
      <w:r>
        <w:rPr>
          <w:rFonts w:hint="default" w:ascii="宋体" w:hAnsi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）浙0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226</w:t>
      </w:r>
      <w:r>
        <w:rPr>
          <w:rFonts w:hint="eastAsia" w:ascii="宋体" w:hAnsi="宋体" w:eastAsia="宋体" w:cs="宋体"/>
          <w:sz w:val="24"/>
          <w:szCs w:val="24"/>
        </w:rPr>
        <w:t>破申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46</w:t>
      </w:r>
      <w:r>
        <w:rPr>
          <w:rFonts w:hint="eastAsia" w:ascii="宋体" w:hAnsi="宋体" w:eastAsia="宋体" w:cs="宋体"/>
          <w:sz w:val="24"/>
          <w:szCs w:val="24"/>
        </w:rPr>
        <w:t>号《民事裁定书》，裁定受理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宁海县鑫立模架有限公司</w:t>
      </w:r>
      <w:r>
        <w:rPr>
          <w:rFonts w:hint="eastAsia" w:ascii="宋体" w:hAnsi="宋体" w:eastAsia="宋体" w:cs="宋体"/>
          <w:sz w:val="24"/>
          <w:szCs w:val="24"/>
        </w:rPr>
        <w:t>破产清算一案，并于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同日</w:t>
      </w:r>
      <w:r>
        <w:rPr>
          <w:rFonts w:hint="eastAsia" w:ascii="宋体" w:hAnsi="宋体" w:eastAsia="宋体" w:cs="宋体"/>
          <w:sz w:val="24"/>
          <w:szCs w:val="24"/>
        </w:rPr>
        <w:t>指定浙江太安律师事务所为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宁海县鑫立模架有限公司</w:t>
      </w:r>
      <w:r>
        <w:rPr>
          <w:rFonts w:hint="eastAsia" w:ascii="宋体" w:hAnsi="宋体" w:eastAsia="宋体" w:cs="宋体"/>
          <w:sz w:val="24"/>
          <w:szCs w:val="24"/>
        </w:rPr>
        <w:t>管理人。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现管理人就相关事项通知如下：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一、债权申报事项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1.申报时间：截止2023年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日；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2.申报地点：浙江省宁波市鄞州区嘉会街288号宁波中心大厦32楼；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3.联系方式：滕冰倩，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15757870687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； </w:t>
      </w:r>
    </w:p>
    <w:p>
      <w:pPr>
        <w:spacing w:line="500" w:lineRule="exact"/>
        <w:ind w:firstLine="480" w:firstLineChars="20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债权申报资料下载地址：www.taianlawfirm.com，进入页面后，选择“公示公告”，或关注“浙江太安律师事务所”微信公众号，选择“更多服务”项下“公告通知”，选择相关债权项目，点击通知项下“债权申报资料”进行下载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5.其他注意事项：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1）债权人</w:t>
      </w:r>
      <w:bookmarkStart w:id="0" w:name="_GoBack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申报债权时需要书面说明债权数额、有无财产担保及是否属于连带债权。</w:t>
      </w:r>
    </w:p>
    <w:bookmarkEnd w:id="0"/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二、第一次债权人会议事项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1.会议时间：2023年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开始；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2.会议地址：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宁海县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审判庭；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3.参会人员：依法申报债权的债权人等；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特此通知。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宁海县鑫立模架有限公司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line="500" w:lineRule="exact"/>
        <w:ind w:firstLine="700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70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Songti SC Regular" w:hAnsi="Songti SC Regular" w:eastAsia="Songti SC Regular" w:cs="Songti SC Regular"/>
        <w:lang w:val="en-US" w:eastAsia="zh-Hans"/>
      </w:rPr>
    </w:pPr>
    <w:r>
      <w:rPr>
        <w:rFonts w:hint="eastAsia" w:ascii="Songti SC Regular" w:hAnsi="Songti SC Regular" w:eastAsia="Songti SC Regular" w:cs="Songti SC Regular"/>
        <w:lang w:val="en-US" w:eastAsia="zh-CN"/>
      </w:rPr>
      <w:t>宁海县鑫立模架有限公司</w:t>
    </w:r>
    <w:r>
      <w:rPr>
        <w:rFonts w:hint="eastAsia" w:ascii="Songti SC Regular" w:hAnsi="Songti SC Regular" w:eastAsia="Songti SC Regular" w:cs="Songti SC Regular"/>
        <w:lang w:val="en-US"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  <w:rsid w:val="3FDFC06D"/>
    <w:rsid w:val="7F77CC22"/>
    <w:rsid w:val="9FBFAA5C"/>
    <w:rsid w:val="C6FF2B83"/>
    <w:rsid w:val="CFBF8125"/>
    <w:rsid w:val="DFBB3AC9"/>
    <w:rsid w:val="FA7B974E"/>
    <w:rsid w:val="FF3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691</Characters>
  <Lines>5</Lines>
  <Paragraphs>1</Paragraphs>
  <TotalTime>5</TotalTime>
  <ScaleCrop>false</ScaleCrop>
  <LinksUpToDate>false</LinksUpToDate>
  <CharactersWithSpaces>811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2020-11-04T18:39:00Z</dcterms:created>
  <dc:creator>Microsoft Office User</dc:creator>
  <cp:lastModifiedBy>lawyer</cp:lastModifiedBy>
  <cp:lastPrinted>2020-11-05T14:23:00Z</cp:lastPrinted>
  <dcterms:modified xsi:type="dcterms:W3CDTF">2023-10-17T09:02:35Z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AD625D9B0FB7F3E80A72B763946260C1</vt:lpwstr>
  </property>
</Properties>
</file>