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B4CA4B">
      <w:pPr>
        <w:spacing w:line="1000" w:lineRule="exact"/>
        <w:jc w:val="center"/>
        <w:rPr>
          <w:rFonts w:hint="eastAsia" w:ascii="宋体" w:hAnsi="宋体" w:eastAsia="宋体" w:cs="宋体"/>
          <w:b/>
          <w:bCs/>
          <w:color w:val="000000" w:themeColor="text1"/>
          <w:sz w:val="44"/>
          <w:szCs w:val="44"/>
          <w:highlight w:val="none"/>
          <w:lang w:val="en-US" w:eastAsia="zh-Hans"/>
          <w14:textFill>
            <w14:solidFill>
              <w14:schemeClr w14:val="tx1"/>
            </w14:solidFill>
          </w14:textFill>
        </w:rPr>
      </w:pPr>
      <w:bookmarkStart w:id="0" w:name="_GoBack"/>
      <w:r>
        <w:rPr>
          <w:rFonts w:hint="eastAsia" w:ascii="宋体" w:hAnsi="宋体" w:eastAsia="宋体" w:cs="宋体"/>
          <w:b/>
          <w:bCs/>
          <w:color w:val="000000" w:themeColor="text1"/>
          <w:sz w:val="44"/>
          <w:szCs w:val="44"/>
          <w:highlight w:val="none"/>
          <w:lang w:val="en-US" w:eastAsia="zh-CN"/>
          <w14:textFill>
            <w14:solidFill>
              <w14:schemeClr w14:val="tx1"/>
            </w14:solidFill>
          </w14:textFill>
        </w:rPr>
        <w:t>宁波信驰焊割设备有限公司</w:t>
      </w:r>
      <w:r>
        <w:rPr>
          <w:rFonts w:hint="eastAsia" w:ascii="宋体" w:hAnsi="宋体" w:eastAsia="宋体" w:cs="宋体"/>
          <w:b/>
          <w:bCs/>
          <w:color w:val="000000" w:themeColor="text1"/>
          <w:sz w:val="44"/>
          <w:szCs w:val="44"/>
          <w:highlight w:val="none"/>
          <w:lang w:val="en-US" w:eastAsia="zh-Hans"/>
          <w14:textFill>
            <w14:solidFill>
              <w14:schemeClr w14:val="tx1"/>
            </w14:solidFill>
          </w14:textFill>
        </w:rPr>
        <w:t>管理人</w:t>
      </w:r>
    </w:p>
    <w:p w14:paraId="7C88376D">
      <w:pPr>
        <w:spacing w:line="1000" w:lineRule="exact"/>
        <w:jc w:val="center"/>
        <w:rPr>
          <w:rFonts w:hint="eastAsia" w:ascii="宋体" w:hAnsi="宋体" w:eastAsia="宋体" w:cs="宋体"/>
          <w:b/>
          <w:bCs/>
          <w:color w:val="000000"/>
          <w:spacing w:val="60"/>
          <w:sz w:val="48"/>
          <w:szCs w:val="48"/>
          <w:highlight w:val="none"/>
          <w:lang w:val="en-US" w:eastAsia="zh-Hans"/>
        </w:rPr>
      </w:pPr>
      <w:r>
        <w:rPr>
          <w:rFonts w:hint="eastAsia" w:ascii="宋体" w:hAnsi="宋体" w:eastAsia="宋体" w:cs="宋体"/>
          <w:b/>
          <w:bCs/>
          <w:color w:val="000000"/>
          <w:spacing w:val="60"/>
          <w:sz w:val="48"/>
          <w:szCs w:val="48"/>
          <w:highlight w:val="none"/>
          <w:lang w:val="en-US" w:eastAsia="zh-Hans"/>
        </w:rPr>
        <w:t>通知书</w:t>
      </w:r>
    </w:p>
    <w:p w14:paraId="4D23BC64">
      <w:pPr>
        <w:widowControl w:val="0"/>
        <w:numPr>
          <w:ilvl w:val="0"/>
          <w:numId w:val="0"/>
        </w:numPr>
        <w:spacing w:line="500" w:lineRule="exact"/>
        <w:contextualSpacing/>
        <w:jc w:val="righ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(202</w:t>
      </w:r>
      <w:r>
        <w:rPr>
          <w:rFonts w:hint="eastAsia" w:ascii="宋体" w:hAnsi="宋体" w:eastAsia="宋体" w:cs="宋体"/>
          <w:color w:val="000000" w:themeColor="text1"/>
          <w:sz w:val="24"/>
          <w:szCs w:val="24"/>
          <w:highlight w:val="none"/>
          <w:lang w:val="en-US"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)浙太安非事字第</w:t>
      </w:r>
      <w:r>
        <w:rPr>
          <w:rFonts w:hint="eastAsia" w:ascii="宋体" w:hAnsi="宋体" w:eastAsia="宋体" w:cs="宋体"/>
          <w:color w:val="000000" w:themeColor="text1"/>
          <w:sz w:val="24"/>
          <w:szCs w:val="24"/>
          <w:highlight w:val="none"/>
          <w:lang w:val="en-US" w:eastAsia="zh-CN"/>
          <w14:textFill>
            <w14:solidFill>
              <w14:schemeClr w14:val="tx1"/>
            </w14:solidFill>
          </w14:textFill>
        </w:rPr>
        <w:t>84-4</w:t>
      </w:r>
      <w:r>
        <w:rPr>
          <w:rFonts w:hint="eastAsia" w:ascii="宋体" w:hAnsi="宋体" w:eastAsia="宋体" w:cs="宋体"/>
          <w:color w:val="000000" w:themeColor="text1"/>
          <w:sz w:val="24"/>
          <w:szCs w:val="24"/>
          <w:highlight w:val="none"/>
          <w14:textFill>
            <w14:solidFill>
              <w14:schemeClr w14:val="tx1"/>
            </w14:solidFill>
          </w14:textFill>
        </w:rPr>
        <w:t>号</w:t>
      </w:r>
    </w:p>
    <w:p w14:paraId="412116D4">
      <w:pPr>
        <w:widowControl w:val="0"/>
        <w:numPr>
          <w:ilvl w:val="0"/>
          <w:numId w:val="0"/>
        </w:numPr>
        <w:spacing w:line="500" w:lineRule="exact"/>
        <w:contextualSpacing/>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各债权人：</w:t>
      </w:r>
    </w:p>
    <w:p w14:paraId="5916B63C">
      <w:pPr>
        <w:keepNext w:val="0"/>
        <w:keepLines w:val="0"/>
        <w:pageBreakBefore w:val="0"/>
        <w:widowControl w:val="0"/>
        <w:kinsoku/>
        <w:wordWrap/>
        <w:overflowPunct/>
        <w:topLinePunct w:val="0"/>
        <w:autoSpaceDE/>
        <w:autoSpaceDN/>
        <w:bidi w:val="0"/>
        <w:adjustRightInd/>
        <w:snapToGrid/>
        <w:spacing w:line="500" w:lineRule="exact"/>
        <w:ind w:firstLine="480" w:firstLineChars="200"/>
        <w:contextualSpacing/>
        <w:jc w:val="both"/>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sz w:val="24"/>
          <w:szCs w:val="24"/>
          <w:highlight w:val="none"/>
        </w:rPr>
        <w:t>2024年12月3日，慈溪市人民法院作出（2024）浙0282破申60号《民事裁定书》，裁定受理宁波信驰焊割设备有限公司破产清算一案，并于同日指定浙江太安律师事务所为宁波信驰焊割设备有限公司管理人。</w:t>
      </w:r>
      <w:r>
        <w:rPr>
          <w:rFonts w:hint="eastAsia" w:ascii="宋体" w:hAnsi="宋体" w:eastAsia="宋体" w:cs="宋体"/>
          <w:color w:val="000000" w:themeColor="text1"/>
          <w:sz w:val="24"/>
          <w:szCs w:val="24"/>
          <w:highlight w:val="none"/>
          <w14:textFill>
            <w14:solidFill>
              <w14:schemeClr w14:val="tx1"/>
            </w14:solidFill>
          </w14:textFill>
        </w:rPr>
        <w:t>现管理人就相关事项通知如下：</w:t>
      </w:r>
    </w:p>
    <w:p w14:paraId="10529155">
      <w:pPr>
        <w:keepNext w:val="0"/>
        <w:keepLines w:val="0"/>
        <w:pageBreakBefore w:val="0"/>
        <w:widowControl/>
        <w:numPr>
          <w:ilvl w:val="0"/>
          <w:numId w:val="1"/>
        </w:numPr>
        <w:kinsoku/>
        <w:wordWrap/>
        <w:overflowPunct/>
        <w:topLinePunct w:val="0"/>
        <w:autoSpaceDE/>
        <w:autoSpaceDN/>
        <w:bidi w:val="0"/>
        <w:adjustRightInd/>
        <w:snapToGrid/>
        <w:spacing w:line="500" w:lineRule="exact"/>
        <w:ind w:left="0" w:leftChars="0" w:firstLine="480" w:firstLineChars="200"/>
        <w:contextualSpacing/>
        <w:jc w:val="both"/>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债权申报事项</w:t>
      </w:r>
    </w:p>
    <w:p w14:paraId="3133C73B">
      <w:pPr>
        <w:keepNext w:val="0"/>
        <w:keepLines w:val="0"/>
        <w:pageBreakBefore w:val="0"/>
        <w:widowControl/>
        <w:numPr>
          <w:ilvl w:val="0"/>
          <w:numId w:val="2"/>
        </w:numPr>
        <w:kinsoku/>
        <w:wordWrap/>
        <w:overflowPunct/>
        <w:topLinePunct w:val="0"/>
        <w:autoSpaceDE/>
        <w:autoSpaceDN/>
        <w:bidi w:val="0"/>
        <w:adjustRightInd/>
        <w:snapToGrid/>
        <w:spacing w:line="500" w:lineRule="exact"/>
        <w:ind w:left="0" w:leftChars="0" w:firstLine="480" w:firstLineChars="200"/>
        <w:contextualSpacing/>
        <w:jc w:val="both"/>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申报时间</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b/>
          <w:bCs/>
          <w:color w:val="000000" w:themeColor="text1"/>
          <w:sz w:val="24"/>
          <w:szCs w:val="24"/>
          <w:highlight w:val="none"/>
          <w14:textFill>
            <w14:solidFill>
              <w14:schemeClr w14:val="tx1"/>
            </w14:solidFill>
          </w14:textFill>
        </w:rPr>
        <w:t>截止202</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5</w:t>
      </w:r>
      <w:r>
        <w:rPr>
          <w:rFonts w:hint="eastAsia" w:ascii="宋体" w:hAnsi="宋体" w:eastAsia="宋体" w:cs="宋体"/>
          <w:b/>
          <w:bCs/>
          <w:color w:val="000000" w:themeColor="text1"/>
          <w:sz w:val="24"/>
          <w:szCs w:val="24"/>
          <w:highlight w:val="none"/>
          <w14:textFill>
            <w14:solidFill>
              <w14:schemeClr w14:val="tx1"/>
            </w14:solidFill>
          </w14:textFill>
        </w:rPr>
        <w:t>年</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2</w:t>
      </w:r>
      <w:r>
        <w:rPr>
          <w:rFonts w:hint="eastAsia" w:ascii="宋体" w:hAnsi="宋体" w:eastAsia="宋体" w:cs="宋体"/>
          <w:b/>
          <w:bCs/>
          <w:color w:val="000000" w:themeColor="text1"/>
          <w:sz w:val="24"/>
          <w:szCs w:val="24"/>
          <w:highlight w:val="none"/>
          <w14:textFill>
            <w14:solidFill>
              <w14:schemeClr w14:val="tx1"/>
            </w14:solidFill>
          </w14:textFill>
        </w:rPr>
        <w:t>月</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6</w:t>
      </w:r>
      <w:r>
        <w:rPr>
          <w:rFonts w:hint="eastAsia" w:ascii="宋体" w:hAnsi="宋体" w:eastAsia="宋体" w:cs="宋体"/>
          <w:b/>
          <w:bCs/>
          <w:color w:val="000000" w:themeColor="text1"/>
          <w:sz w:val="24"/>
          <w:szCs w:val="24"/>
          <w:highlight w:val="none"/>
          <w14:textFill>
            <w14:solidFill>
              <w14:schemeClr w14:val="tx1"/>
            </w14:solidFill>
          </w14:textFill>
        </w:rPr>
        <w:t>日</w:t>
      </w:r>
      <w:r>
        <w:rPr>
          <w:rFonts w:hint="eastAsia" w:ascii="宋体" w:hAnsi="宋体" w:eastAsia="宋体" w:cs="宋体"/>
          <w:color w:val="000000" w:themeColor="text1"/>
          <w:sz w:val="24"/>
          <w:szCs w:val="24"/>
          <w:highlight w:val="none"/>
          <w14:textFill>
            <w14:solidFill>
              <w14:schemeClr w14:val="tx1"/>
            </w14:solidFill>
          </w14:textFill>
        </w:rPr>
        <w:t>；</w:t>
      </w:r>
    </w:p>
    <w:p w14:paraId="1173B1CB">
      <w:pPr>
        <w:keepNext w:val="0"/>
        <w:keepLines w:val="0"/>
        <w:pageBreakBefore w:val="0"/>
        <w:widowControl/>
        <w:numPr>
          <w:ilvl w:val="0"/>
          <w:numId w:val="2"/>
        </w:numPr>
        <w:kinsoku/>
        <w:wordWrap/>
        <w:overflowPunct/>
        <w:topLinePunct w:val="0"/>
        <w:autoSpaceDE/>
        <w:autoSpaceDN/>
        <w:bidi w:val="0"/>
        <w:adjustRightInd/>
        <w:snapToGrid/>
        <w:spacing w:line="500" w:lineRule="exact"/>
        <w:ind w:left="0" w:leftChars="0" w:firstLine="480" w:firstLineChars="200"/>
        <w:contextualSpacing/>
        <w:jc w:val="both"/>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申报地点：浙江省宁波市鄞州区嘉会街288号宁波中心大厦32楼；</w:t>
      </w:r>
    </w:p>
    <w:p w14:paraId="1F1856E2">
      <w:pPr>
        <w:keepNext w:val="0"/>
        <w:keepLines w:val="0"/>
        <w:pageBreakBefore w:val="0"/>
        <w:widowControl/>
        <w:numPr>
          <w:ilvl w:val="0"/>
          <w:numId w:val="2"/>
        </w:numPr>
        <w:kinsoku/>
        <w:wordWrap/>
        <w:overflowPunct/>
        <w:topLinePunct w:val="0"/>
        <w:autoSpaceDE/>
        <w:autoSpaceDN/>
        <w:bidi w:val="0"/>
        <w:adjustRightInd/>
        <w:snapToGrid/>
        <w:spacing w:line="500" w:lineRule="exact"/>
        <w:ind w:left="0" w:leftChars="0" w:firstLine="480" w:firstLineChars="200"/>
        <w:contextualSpacing/>
        <w:jc w:val="both"/>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联系方式：滕冰倩，</w:t>
      </w:r>
      <w:r>
        <w:rPr>
          <w:rFonts w:hint="eastAsia" w:ascii="宋体" w:hAnsi="宋体" w:eastAsia="宋体" w:cs="宋体"/>
          <w:sz w:val="24"/>
          <w:szCs w:val="24"/>
          <w:highlight w:val="none"/>
        </w:rPr>
        <w:t>15</w:t>
      </w:r>
      <w:r>
        <w:rPr>
          <w:rFonts w:hint="eastAsia" w:ascii="宋体" w:hAnsi="宋体" w:eastAsia="宋体" w:cs="宋体"/>
          <w:sz w:val="24"/>
          <w:szCs w:val="24"/>
          <w:highlight w:val="none"/>
          <w:lang w:val="en-US" w:eastAsia="zh-CN"/>
        </w:rPr>
        <w:t>757870687</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4D5056ED">
      <w:pPr>
        <w:keepNext w:val="0"/>
        <w:keepLines w:val="0"/>
        <w:pageBreakBefore w:val="0"/>
        <w:widowControl/>
        <w:numPr>
          <w:ilvl w:val="0"/>
          <w:numId w:val="2"/>
        </w:numPr>
        <w:kinsoku/>
        <w:wordWrap/>
        <w:overflowPunct/>
        <w:topLinePunct w:val="0"/>
        <w:autoSpaceDE/>
        <w:autoSpaceDN/>
        <w:bidi w:val="0"/>
        <w:adjustRightInd/>
        <w:snapToGrid/>
        <w:spacing w:line="500" w:lineRule="exact"/>
        <w:ind w:left="0" w:leftChars="0" w:firstLine="480" w:firstLineChars="200"/>
        <w:contextualSpacing/>
        <w:jc w:val="both"/>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债权申报资料下载地址：www.taianlawfirm.com，进入页面后，选择“公示公告”，或关注“浙江太安律师事务所”微信公众号，选择“</w:t>
      </w:r>
      <w:r>
        <w:rPr>
          <w:rFonts w:hint="eastAsia" w:ascii="宋体" w:hAnsi="宋体" w:eastAsia="宋体" w:cs="宋体"/>
          <w:color w:val="000000" w:themeColor="text1"/>
          <w:sz w:val="24"/>
          <w:szCs w:val="24"/>
          <w:highlight w:val="none"/>
          <w:lang w:val="en-US" w:eastAsia="zh-CN"/>
          <w14:textFill>
            <w14:solidFill>
              <w14:schemeClr w14:val="tx1"/>
            </w14:solidFill>
          </w14:textFill>
        </w:rPr>
        <w:t>研究动态</w:t>
      </w:r>
      <w:r>
        <w:rPr>
          <w:rFonts w:hint="eastAsia" w:ascii="宋体" w:hAnsi="宋体" w:eastAsia="宋体" w:cs="宋体"/>
          <w:color w:val="000000" w:themeColor="text1"/>
          <w:sz w:val="24"/>
          <w:szCs w:val="24"/>
          <w:highlight w:val="none"/>
          <w14:textFill>
            <w14:solidFill>
              <w14:schemeClr w14:val="tx1"/>
            </w14:solidFill>
          </w14:textFill>
        </w:rPr>
        <w:t>”项下“公告通知”，选择相关债权项目，点击通知项下“债权申报资料”进行下载；</w:t>
      </w:r>
    </w:p>
    <w:p w14:paraId="3B7F14D0">
      <w:pPr>
        <w:keepNext w:val="0"/>
        <w:keepLines w:val="0"/>
        <w:pageBreakBefore w:val="0"/>
        <w:widowControl/>
        <w:numPr>
          <w:ilvl w:val="0"/>
          <w:numId w:val="2"/>
        </w:numPr>
        <w:kinsoku/>
        <w:wordWrap/>
        <w:overflowPunct/>
        <w:topLinePunct w:val="0"/>
        <w:autoSpaceDE/>
        <w:autoSpaceDN/>
        <w:bidi w:val="0"/>
        <w:adjustRightInd/>
        <w:snapToGrid/>
        <w:spacing w:line="500" w:lineRule="exact"/>
        <w:ind w:left="0" w:leftChars="0" w:firstLine="480" w:firstLineChars="200"/>
        <w:contextualSpacing/>
        <w:jc w:val="both"/>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其他注意事项：</w:t>
      </w:r>
    </w:p>
    <w:p w14:paraId="43977054">
      <w:pPr>
        <w:keepNext w:val="0"/>
        <w:keepLines w:val="0"/>
        <w:pageBreakBefore w:val="0"/>
        <w:widowControl/>
        <w:kinsoku/>
        <w:wordWrap/>
        <w:overflowPunct/>
        <w:topLinePunct w:val="0"/>
        <w:autoSpaceDE/>
        <w:autoSpaceDN/>
        <w:bidi w:val="0"/>
        <w:adjustRightInd/>
        <w:snapToGrid/>
        <w:spacing w:line="500" w:lineRule="exact"/>
        <w:ind w:firstLine="480" w:firstLineChars="200"/>
        <w:contextualSpacing/>
        <w:jc w:val="both"/>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1）债权人申报债权时需要书面说明债权数额、有无财产担保及是否属于连带债权。</w:t>
      </w:r>
    </w:p>
    <w:p w14:paraId="3636D5F3">
      <w:pPr>
        <w:keepNext w:val="0"/>
        <w:keepLines w:val="0"/>
        <w:pageBreakBefore w:val="0"/>
        <w:widowControl/>
        <w:kinsoku/>
        <w:wordWrap/>
        <w:overflowPunct/>
        <w:topLinePunct w:val="0"/>
        <w:autoSpaceDE/>
        <w:autoSpaceDN/>
        <w:bidi w:val="0"/>
        <w:adjustRightInd/>
        <w:snapToGrid/>
        <w:spacing w:line="500" w:lineRule="exact"/>
        <w:ind w:firstLine="480" w:firstLineChars="200"/>
        <w:contextualSpacing/>
        <w:jc w:val="both"/>
        <w:textAlignment w:val="auto"/>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未在上述期限内申报债权的，可以在破产财产分配方案提交债权人会议讨论前补充申报，但对此前已进行的分配无权要求补充分配，同时要承担为审查和确认补充申报债权所产生的费用。未申报债权的，不得依照《中华人民共和国企业破产法》规定的程序行使权利。</w:t>
      </w:r>
    </w:p>
    <w:p w14:paraId="03732652">
      <w:pPr>
        <w:keepNext w:val="0"/>
        <w:keepLines w:val="0"/>
        <w:pageBreakBefore w:val="0"/>
        <w:widowControl/>
        <w:numPr>
          <w:ilvl w:val="0"/>
          <w:numId w:val="1"/>
        </w:numPr>
        <w:kinsoku/>
        <w:wordWrap/>
        <w:overflowPunct/>
        <w:topLinePunct w:val="0"/>
        <w:autoSpaceDE/>
        <w:autoSpaceDN/>
        <w:bidi w:val="0"/>
        <w:adjustRightInd/>
        <w:snapToGrid/>
        <w:spacing w:line="500" w:lineRule="exact"/>
        <w:ind w:left="0" w:leftChars="0" w:firstLine="480" w:firstLineChars="200"/>
        <w:contextualSpacing/>
        <w:jc w:val="both"/>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第一次</w:t>
      </w:r>
      <w:r>
        <w:rPr>
          <w:rFonts w:hint="eastAsia" w:ascii="宋体" w:hAnsi="宋体" w:eastAsia="宋体" w:cs="宋体"/>
          <w:color w:val="000000" w:themeColor="text1"/>
          <w:sz w:val="24"/>
          <w:szCs w:val="24"/>
          <w:highlight w:val="none"/>
          <w14:textFill>
            <w14:solidFill>
              <w14:schemeClr w14:val="tx1"/>
            </w14:solidFill>
          </w14:textFill>
        </w:rPr>
        <w:t>债权人会议事项</w:t>
      </w:r>
    </w:p>
    <w:p w14:paraId="53185F32">
      <w:pPr>
        <w:keepNext w:val="0"/>
        <w:keepLines w:val="0"/>
        <w:pageBreakBefore w:val="0"/>
        <w:widowControl/>
        <w:numPr>
          <w:ilvl w:val="0"/>
          <w:numId w:val="3"/>
        </w:numPr>
        <w:kinsoku/>
        <w:wordWrap/>
        <w:overflowPunct/>
        <w:topLinePunct w:val="0"/>
        <w:autoSpaceDE/>
        <w:autoSpaceDN/>
        <w:bidi w:val="0"/>
        <w:adjustRightInd/>
        <w:snapToGrid/>
        <w:spacing w:line="500" w:lineRule="exact"/>
        <w:ind w:left="0" w:leftChars="0" w:firstLine="480" w:firstLineChars="200"/>
        <w:contextualSpacing/>
        <w:jc w:val="both"/>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会议时间：</w:t>
      </w:r>
      <w:r>
        <w:rPr>
          <w:rFonts w:hint="eastAsia" w:ascii="宋体" w:hAnsi="宋体" w:eastAsia="宋体" w:cs="宋体"/>
          <w:b/>
          <w:bCs/>
          <w:color w:val="000000" w:themeColor="text1"/>
          <w:sz w:val="24"/>
          <w:szCs w:val="24"/>
          <w:highlight w:val="none"/>
          <w14:textFill>
            <w14:solidFill>
              <w14:schemeClr w14:val="tx1"/>
            </w14:solidFill>
          </w14:textFill>
        </w:rPr>
        <w:t>202</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5</w:t>
      </w:r>
      <w:r>
        <w:rPr>
          <w:rFonts w:hint="eastAsia" w:ascii="宋体" w:hAnsi="宋体" w:eastAsia="宋体" w:cs="宋体"/>
          <w:b/>
          <w:bCs/>
          <w:color w:val="000000" w:themeColor="text1"/>
          <w:sz w:val="24"/>
          <w:szCs w:val="24"/>
          <w:highlight w:val="none"/>
          <w14:textFill>
            <w14:solidFill>
              <w14:schemeClr w14:val="tx1"/>
            </w14:solidFill>
          </w14:textFill>
        </w:rPr>
        <w:t>年</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2</w:t>
      </w:r>
      <w:r>
        <w:rPr>
          <w:rFonts w:hint="eastAsia" w:ascii="宋体" w:hAnsi="宋体" w:eastAsia="宋体" w:cs="宋体"/>
          <w:b/>
          <w:bCs/>
          <w:color w:val="000000" w:themeColor="text1"/>
          <w:sz w:val="24"/>
          <w:szCs w:val="24"/>
          <w:highlight w:val="none"/>
          <w14:textFill>
            <w14:solidFill>
              <w14:schemeClr w14:val="tx1"/>
            </w14:solidFill>
          </w14:textFill>
        </w:rPr>
        <w:t>月</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13</w:t>
      </w:r>
      <w:r>
        <w:rPr>
          <w:rFonts w:hint="eastAsia" w:ascii="宋体" w:hAnsi="宋体" w:eastAsia="宋体" w:cs="宋体"/>
          <w:b/>
          <w:bCs/>
          <w:color w:val="000000" w:themeColor="text1"/>
          <w:sz w:val="24"/>
          <w:szCs w:val="24"/>
          <w:highlight w:val="none"/>
          <w14:textFill>
            <w14:solidFill>
              <w14:schemeClr w14:val="tx1"/>
            </w14:solidFill>
          </w14:textFill>
        </w:rPr>
        <w:t>日</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10：10</w:t>
      </w:r>
      <w:r>
        <w:rPr>
          <w:rFonts w:hint="eastAsia" w:ascii="宋体" w:hAnsi="宋体" w:eastAsia="宋体" w:cs="宋体"/>
          <w:b/>
          <w:bCs/>
          <w:color w:val="000000" w:themeColor="text1"/>
          <w:sz w:val="24"/>
          <w:szCs w:val="24"/>
          <w:highlight w:val="none"/>
          <w14:textFill>
            <w14:solidFill>
              <w14:schemeClr w14:val="tx1"/>
            </w14:solidFill>
          </w14:textFill>
        </w:rPr>
        <w:t>开始</w:t>
      </w:r>
      <w:r>
        <w:rPr>
          <w:rFonts w:hint="eastAsia" w:ascii="宋体" w:hAnsi="宋体" w:eastAsia="宋体" w:cs="宋体"/>
          <w:color w:val="000000" w:themeColor="text1"/>
          <w:sz w:val="24"/>
          <w:szCs w:val="24"/>
          <w:highlight w:val="none"/>
          <w14:textFill>
            <w14:solidFill>
              <w14:schemeClr w14:val="tx1"/>
            </w14:solidFill>
          </w14:textFill>
        </w:rPr>
        <w:t>；</w:t>
      </w:r>
    </w:p>
    <w:p w14:paraId="6763D6CE">
      <w:pPr>
        <w:keepNext w:val="0"/>
        <w:keepLines w:val="0"/>
        <w:pageBreakBefore w:val="0"/>
        <w:widowControl/>
        <w:numPr>
          <w:ilvl w:val="0"/>
          <w:numId w:val="3"/>
        </w:numPr>
        <w:kinsoku/>
        <w:wordWrap/>
        <w:overflowPunct/>
        <w:topLinePunct w:val="0"/>
        <w:autoSpaceDE/>
        <w:autoSpaceDN/>
        <w:bidi w:val="0"/>
        <w:adjustRightInd/>
        <w:snapToGrid/>
        <w:spacing w:line="500" w:lineRule="exact"/>
        <w:ind w:left="0" w:leftChars="0" w:firstLine="480" w:firstLineChars="200"/>
        <w:contextualSpacing/>
        <w:jc w:val="both"/>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会议地址：</w:t>
      </w:r>
      <w:r>
        <w:rPr>
          <w:rFonts w:hint="eastAsia" w:ascii="宋体" w:hAnsi="宋体" w:eastAsia="宋体" w:cs="宋体"/>
          <w:color w:val="000000" w:themeColor="text1"/>
          <w:sz w:val="24"/>
          <w:szCs w:val="24"/>
          <w:highlight w:val="none"/>
          <w:lang w:val="en-US" w:eastAsia="zh-CN"/>
          <w14:textFill>
            <w14:solidFill>
              <w14:schemeClr w14:val="tx1"/>
            </w14:solidFill>
          </w14:textFill>
        </w:rPr>
        <w:t>慈溪市</w:t>
      </w:r>
      <w:r>
        <w:rPr>
          <w:rFonts w:hint="eastAsia" w:ascii="宋体" w:hAnsi="宋体" w:eastAsia="宋体" w:cs="宋体"/>
          <w:color w:val="000000" w:themeColor="text1"/>
          <w:sz w:val="24"/>
          <w:szCs w:val="24"/>
          <w:highlight w:val="none"/>
          <w14:textFill>
            <w14:solidFill>
              <w14:schemeClr w14:val="tx1"/>
            </w14:solidFill>
          </w14:textFill>
        </w:rPr>
        <w:t>人民法院第</w:t>
      </w:r>
      <w:r>
        <w:rPr>
          <w:rFonts w:hint="eastAsia" w:ascii="宋体" w:hAnsi="宋体" w:eastAsia="宋体" w:cs="宋体"/>
          <w:color w:val="000000" w:themeColor="text1"/>
          <w:sz w:val="24"/>
          <w:szCs w:val="24"/>
          <w:highlight w:val="none"/>
          <w:lang w:val="en-US" w:eastAsia="zh-CN"/>
          <w14:textFill>
            <w14:solidFill>
              <w14:schemeClr w14:val="tx1"/>
            </w14:solidFill>
          </w14:textFill>
        </w:rPr>
        <w:t>十</w:t>
      </w:r>
      <w:r>
        <w:rPr>
          <w:rFonts w:hint="eastAsia" w:ascii="宋体" w:hAnsi="宋体" w:eastAsia="宋体" w:cs="宋体"/>
          <w:color w:val="000000" w:themeColor="text1"/>
          <w:sz w:val="24"/>
          <w:szCs w:val="24"/>
          <w:highlight w:val="none"/>
          <w14:textFill>
            <w14:solidFill>
              <w14:schemeClr w14:val="tx1"/>
            </w14:solidFill>
          </w14:textFill>
        </w:rPr>
        <w:t>审判庭；</w:t>
      </w:r>
    </w:p>
    <w:p w14:paraId="453A814A">
      <w:pPr>
        <w:keepNext w:val="0"/>
        <w:keepLines w:val="0"/>
        <w:pageBreakBefore w:val="0"/>
        <w:widowControl/>
        <w:numPr>
          <w:ilvl w:val="0"/>
          <w:numId w:val="3"/>
        </w:numPr>
        <w:kinsoku/>
        <w:wordWrap/>
        <w:overflowPunct/>
        <w:topLinePunct w:val="0"/>
        <w:autoSpaceDE/>
        <w:autoSpaceDN/>
        <w:bidi w:val="0"/>
        <w:adjustRightInd/>
        <w:snapToGrid/>
        <w:spacing w:line="500" w:lineRule="exact"/>
        <w:ind w:left="0" w:leftChars="0" w:firstLine="480" w:firstLineChars="200"/>
        <w:contextualSpacing/>
        <w:jc w:val="both"/>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参会人员：依法申报债权的债权人等；</w:t>
      </w:r>
    </w:p>
    <w:p w14:paraId="1EFB2C7B">
      <w:pPr>
        <w:keepNext w:val="0"/>
        <w:keepLines w:val="0"/>
        <w:pageBreakBefore w:val="0"/>
        <w:widowControl/>
        <w:numPr>
          <w:ilvl w:val="0"/>
          <w:numId w:val="3"/>
        </w:numPr>
        <w:kinsoku/>
        <w:wordWrap/>
        <w:overflowPunct/>
        <w:topLinePunct w:val="0"/>
        <w:autoSpaceDE/>
        <w:autoSpaceDN/>
        <w:bidi w:val="0"/>
        <w:adjustRightInd/>
        <w:snapToGrid/>
        <w:spacing w:line="500" w:lineRule="exact"/>
        <w:ind w:left="0" w:leftChars="0" w:firstLine="480" w:firstLineChars="200"/>
        <w:contextualSpacing/>
        <w:jc w:val="both"/>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其他注意事项：参加会议的债权人系自然人的，应提交个人身份证明。参加会议的债权人系法人或其他组织的，应提交营业执照、法定代表人或负责人身份证明书。如委托代理人出席会议，应提交特别授权委托书、委托代理人的身份证件或律师执业证，委托代理人是律师的还应提交律师事务所的指派函。</w:t>
      </w:r>
    </w:p>
    <w:p w14:paraId="20A1A303">
      <w:pPr>
        <w:spacing w:line="500" w:lineRule="exact"/>
        <w:contextualSpacing/>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特此通知。</w:t>
      </w:r>
    </w:p>
    <w:p w14:paraId="5F522FFA">
      <w:pPr>
        <w:spacing w:line="500" w:lineRule="exact"/>
        <w:contextualSpacing/>
        <w:jc w:val="right"/>
        <w:rPr>
          <w:rFonts w:hint="eastAsia" w:ascii="宋体" w:hAnsi="宋体" w:eastAsia="宋体" w:cs="宋体"/>
          <w:color w:val="000000" w:themeColor="text1"/>
          <w:sz w:val="24"/>
          <w:szCs w:val="24"/>
          <w:highlight w:val="none"/>
          <w14:textFill>
            <w14:solidFill>
              <w14:schemeClr w14:val="tx1"/>
            </w14:solidFill>
          </w14:textFill>
        </w:rPr>
      </w:pPr>
    </w:p>
    <w:p w14:paraId="6D3F91F8">
      <w:pPr>
        <w:spacing w:line="500" w:lineRule="exact"/>
        <w:contextualSpacing/>
        <w:jc w:val="right"/>
        <w:rPr>
          <w:rFonts w:hint="eastAsia" w:ascii="宋体" w:hAnsi="宋体" w:eastAsia="宋体" w:cs="宋体"/>
          <w:color w:val="000000" w:themeColor="text1"/>
          <w:sz w:val="24"/>
          <w:szCs w:val="24"/>
          <w:highlight w:val="none"/>
          <w:lang w:val="en-US" w:eastAsia="zh-Hans"/>
          <w14:textFill>
            <w14:solidFill>
              <w14:schemeClr w14:val="tx1"/>
            </w14:solidFill>
          </w14:textFill>
        </w:rPr>
      </w:pPr>
      <w:r>
        <w:rPr>
          <w:rFonts w:hint="eastAsia" w:ascii="宋体" w:hAnsi="宋体" w:eastAsia="宋体" w:cs="宋体"/>
          <w:sz w:val="24"/>
          <w:szCs w:val="24"/>
          <w:highlight w:val="none"/>
          <w:lang w:eastAsia="zh-CN"/>
        </w:rPr>
        <w:t>宁波信驰焊割设备有限公司</w:t>
      </w:r>
      <w:r>
        <w:rPr>
          <w:rFonts w:hint="eastAsia" w:ascii="宋体" w:hAnsi="宋体" w:eastAsia="宋体" w:cs="宋体"/>
          <w:color w:val="000000" w:themeColor="text1"/>
          <w:sz w:val="24"/>
          <w:szCs w:val="24"/>
          <w:highlight w:val="none"/>
          <w:lang w:val="en-US" w:eastAsia="zh-Hans"/>
          <w14:textFill>
            <w14:solidFill>
              <w14:schemeClr w14:val="tx1"/>
            </w14:solidFill>
          </w14:textFill>
        </w:rPr>
        <w:t>管理人</w:t>
      </w:r>
    </w:p>
    <w:p w14:paraId="2BE0CA96">
      <w:pPr>
        <w:spacing w:line="500" w:lineRule="exact"/>
        <w:contextualSpacing/>
        <w:jc w:val="righ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二〇二</w:t>
      </w:r>
      <w:r>
        <w:rPr>
          <w:rFonts w:hint="eastAsia" w:ascii="宋体" w:hAnsi="宋体" w:eastAsia="宋体" w:cs="宋体"/>
          <w:color w:val="000000" w:themeColor="text1"/>
          <w:sz w:val="24"/>
          <w:szCs w:val="24"/>
          <w:highlight w:val="none"/>
          <w:lang w:val="en-US" w:eastAsia="zh-CN"/>
          <w14:textFill>
            <w14:solidFill>
              <w14:schemeClr w14:val="tx1"/>
            </w14:solidFill>
          </w14:textFill>
        </w:rPr>
        <w:t>四</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lang w:val="en-US" w:eastAsia="zh-CN"/>
          <w14:textFill>
            <w14:solidFill>
              <w14:schemeClr w14:val="tx1"/>
            </w14:solidFill>
          </w14:textFill>
        </w:rPr>
        <w:t>十二</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lang w:val="en-US" w:eastAsia="zh-CN"/>
          <w14:textFill>
            <w14:solidFill>
              <w14:schemeClr w14:val="tx1"/>
            </w14:solidFill>
          </w14:textFill>
        </w:rPr>
        <w:t>十八</w:t>
      </w:r>
      <w:r>
        <w:rPr>
          <w:rFonts w:hint="eastAsia" w:ascii="宋体" w:hAnsi="宋体" w:eastAsia="宋体" w:cs="宋体"/>
          <w:color w:val="000000" w:themeColor="text1"/>
          <w:sz w:val="24"/>
          <w:szCs w:val="24"/>
          <w:highlight w:val="none"/>
          <w14:textFill>
            <w14:solidFill>
              <w14:schemeClr w14:val="tx1"/>
            </w14:solidFill>
          </w14:textFill>
        </w:rPr>
        <w:t>日</w:t>
      </w:r>
    </w:p>
    <w:p w14:paraId="11925D94">
      <w:pPr>
        <w:spacing w:line="500" w:lineRule="exact"/>
        <w:contextualSpacing/>
        <w:jc w:val="right"/>
        <w:rPr>
          <w:rFonts w:hint="eastAsia" w:ascii="宋体" w:hAnsi="宋体" w:eastAsia="宋体" w:cs="宋体"/>
          <w:color w:val="000000" w:themeColor="text1"/>
          <w:sz w:val="24"/>
          <w:szCs w:val="24"/>
          <w:highlight w:val="none"/>
          <w14:textFill>
            <w14:solidFill>
              <w14:schemeClr w14:val="tx1"/>
            </w14:solidFill>
          </w14:textFill>
        </w:rPr>
      </w:pPr>
    </w:p>
    <w:p w14:paraId="56E4C7E5">
      <w:pPr>
        <w:widowControl w:val="0"/>
        <w:spacing w:line="500" w:lineRule="exact"/>
        <w:ind w:firstLine="700"/>
        <w:contextualSpacing/>
        <w:jc w:val="right"/>
        <w:rPr>
          <w:rFonts w:hint="eastAsia" w:ascii="宋体" w:hAnsi="宋体" w:eastAsia="宋体" w:cs="宋体"/>
          <w:color w:val="000000" w:themeColor="text1"/>
          <w:sz w:val="24"/>
          <w:szCs w:val="24"/>
          <w:highlight w:val="none"/>
          <w14:textFill>
            <w14:solidFill>
              <w14:schemeClr w14:val="tx1"/>
            </w14:solidFill>
          </w14:textFill>
        </w:rPr>
      </w:pPr>
    </w:p>
    <w:p w14:paraId="150EDE74">
      <w:pPr>
        <w:spacing w:line="500" w:lineRule="exact"/>
        <w:ind w:firstLine="700"/>
        <w:contextualSpacing/>
        <w:rPr>
          <w:rFonts w:hint="eastAsia" w:ascii="宋体" w:hAnsi="宋体" w:eastAsia="宋体" w:cs="宋体"/>
          <w:color w:val="000000" w:themeColor="text1"/>
          <w:sz w:val="24"/>
          <w:szCs w:val="24"/>
          <w:highlight w:val="none"/>
          <w14:textFill>
            <w14:solidFill>
              <w14:schemeClr w14:val="tx1"/>
            </w14:solidFill>
          </w14:textFill>
        </w:rPr>
      </w:pPr>
    </w:p>
    <w:bookmarkEnd w:id="0"/>
    <w:sectPr>
      <w:headerReference r:id="rId3" w:type="default"/>
      <w:pgSz w:w="11900" w:h="16840"/>
      <w:pgMar w:top="1440" w:right="1800" w:bottom="1440" w:left="1800" w:header="851" w:footer="992" w:gutter="0"/>
      <w:cols w:space="425" w:num="1"/>
      <w:docGrid w:type="lines" w:linePitch="42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DengXian">
    <w:altName w:val="汉仪中等线KW"/>
    <w:panose1 w:val="00000000000000000000"/>
    <w:charset w:val="86"/>
    <w:family w:val="auto"/>
    <w:pitch w:val="default"/>
    <w:sig w:usb0="00000000" w:usb1="00000000" w:usb2="00000000" w:usb3="00000000" w:csb0="00000000" w:csb1="00000000"/>
  </w:font>
  <w:font w:name="DengXian">
    <w:altName w:val="汉仪中等线KW"/>
    <w:panose1 w:val="00000000000000000000"/>
    <w:charset w:val="86"/>
    <w:family w:val="auto"/>
    <w:pitch w:val="default"/>
    <w:sig w:usb0="00000000" w:usb1="00000000" w:usb2="00000000" w:usb3="00000000" w:csb0="00000000" w:csb1="00000000"/>
  </w:font>
  <w:font w:name="DengXian">
    <w:altName w:val="汉仪中等线KW"/>
    <w:panose1 w:val="00000000000000000000"/>
    <w:charset w:val="00"/>
    <w:family w:val="auto"/>
    <w:pitch w:val="default"/>
    <w:sig w:usb0="00000000" w:usb1="00000000" w:usb2="00000000" w:usb3="00000000" w:csb0="00000000" w:csb1="00000000"/>
  </w:font>
  <w:font w:name="Songti SC Regular">
    <w:panose1 w:val="02010800040101010101"/>
    <w:charset w:val="86"/>
    <w:family w:val="auto"/>
    <w:pitch w:val="default"/>
    <w:sig w:usb0="00000001" w:usb1="080F0000" w:usb2="00000000" w:usb3="00000000" w:csb0="00040000" w:csb1="00000000"/>
  </w:font>
  <w:font w:name="汉仪中等线KW">
    <w:panose1 w:val="01010104010101010101"/>
    <w:charset w:val="86"/>
    <w:family w:val="auto"/>
    <w:pitch w:val="default"/>
    <w:sig w:usb0="800002BF" w:usb1="004F7CFA" w:usb2="00000000" w:usb3="00000000" w:csb0="00040001" w:csb1="0000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0320E8">
    <w:pPr>
      <w:pStyle w:val="3"/>
      <w:jc w:val="center"/>
      <w:rPr>
        <w:rFonts w:hint="eastAsia" w:ascii="Songti SC Regular" w:hAnsi="Songti SC Regular" w:eastAsia="Songti SC Regular" w:cs="Songti SC Regular"/>
        <w:lang w:val="en-US" w:eastAsia="zh-Hans"/>
      </w:rPr>
    </w:pPr>
    <w:r>
      <w:rPr>
        <w:rFonts w:hint="eastAsia" w:ascii="Songti SC Regular" w:hAnsi="Songti SC Regular" w:eastAsia="Songti SC Regular" w:cs="Songti SC Regular"/>
        <w:lang w:val="en-US" w:eastAsia="zh-CN"/>
      </w:rPr>
      <w:t>宁波信驰焊割设备有限公司</w:t>
    </w:r>
    <w:r>
      <w:rPr>
        <w:rFonts w:hint="eastAsia" w:ascii="Songti SC Regular" w:hAnsi="Songti SC Regular" w:eastAsia="Songti SC Regular" w:cs="Songti SC Regular"/>
        <w:lang w:val="en-US" w:eastAsia="zh-Hans"/>
      </w:rPr>
      <w:t>破产清算案</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DA817E"/>
    <w:multiLevelType w:val="singleLevel"/>
    <w:tmpl w:val="EFDA817E"/>
    <w:lvl w:ilvl="0" w:tentative="0">
      <w:start w:val="1"/>
      <w:numFmt w:val="chineseCounting"/>
      <w:suff w:val="nothing"/>
      <w:lvlText w:val="%1、"/>
      <w:lvlJc w:val="left"/>
      <w:pPr>
        <w:ind w:left="0" w:firstLine="420"/>
      </w:pPr>
      <w:rPr>
        <w:rFonts w:hint="eastAsia"/>
      </w:rPr>
    </w:lvl>
  </w:abstractNum>
  <w:abstractNum w:abstractNumId="1">
    <w:nsid w:val="FEDE5DE8"/>
    <w:multiLevelType w:val="singleLevel"/>
    <w:tmpl w:val="FEDE5DE8"/>
    <w:lvl w:ilvl="0" w:tentative="0">
      <w:start w:val="1"/>
      <w:numFmt w:val="decimal"/>
      <w:suff w:val="nothing"/>
      <w:lvlText w:val="%1．"/>
      <w:lvlJc w:val="left"/>
      <w:pPr>
        <w:ind w:left="0" w:firstLine="400"/>
      </w:pPr>
      <w:rPr>
        <w:rFonts w:hint="default"/>
      </w:rPr>
    </w:lvl>
  </w:abstractNum>
  <w:abstractNum w:abstractNumId="2">
    <w:nsid w:val="4DBF3C87"/>
    <w:multiLevelType w:val="singleLevel"/>
    <w:tmpl w:val="4DBF3C87"/>
    <w:lvl w:ilvl="0" w:tentative="0">
      <w:start w:val="1"/>
      <w:numFmt w:val="decimal"/>
      <w:suff w:val="nothing"/>
      <w:lvlText w:val="%1．"/>
      <w:lvlJc w:val="left"/>
      <w:pPr>
        <w:ind w:left="0" w:firstLine="40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1"/>
  <w:bordersDoNotSurroundHeader w:val="1"/>
  <w:bordersDoNotSurroundFooter w:val="1"/>
  <w:documentProtection w:enforcement="0"/>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IxZGZhMDBjODlkYTNlZmVkYjBlN2Q2ODBiOTdjYjcifQ=="/>
  </w:docVars>
  <w:rsids>
    <w:rsidRoot w:val="00E72BA5"/>
    <w:rsid w:val="0001555F"/>
    <w:rsid w:val="00063918"/>
    <w:rsid w:val="000B0E1A"/>
    <w:rsid w:val="00142CB2"/>
    <w:rsid w:val="00252C5D"/>
    <w:rsid w:val="004447A3"/>
    <w:rsid w:val="00457D6D"/>
    <w:rsid w:val="00493928"/>
    <w:rsid w:val="004A39B1"/>
    <w:rsid w:val="00572EB1"/>
    <w:rsid w:val="006646FC"/>
    <w:rsid w:val="0068079C"/>
    <w:rsid w:val="006A68A2"/>
    <w:rsid w:val="007C163E"/>
    <w:rsid w:val="008350C7"/>
    <w:rsid w:val="008624F9"/>
    <w:rsid w:val="0089767A"/>
    <w:rsid w:val="008A390C"/>
    <w:rsid w:val="0091341A"/>
    <w:rsid w:val="00974297"/>
    <w:rsid w:val="00A04673"/>
    <w:rsid w:val="00AD375A"/>
    <w:rsid w:val="00B80154"/>
    <w:rsid w:val="00C01FBE"/>
    <w:rsid w:val="00C2307B"/>
    <w:rsid w:val="00C921D2"/>
    <w:rsid w:val="00D126C5"/>
    <w:rsid w:val="00DB5035"/>
    <w:rsid w:val="00E61645"/>
    <w:rsid w:val="00E72BA5"/>
    <w:rsid w:val="05835BFD"/>
    <w:rsid w:val="1F3E988C"/>
    <w:rsid w:val="3FDFC06D"/>
    <w:rsid w:val="4A9A51B8"/>
    <w:rsid w:val="6A6F6773"/>
    <w:rsid w:val="6FDE7AC2"/>
    <w:rsid w:val="73FFFEEC"/>
    <w:rsid w:val="77F75825"/>
    <w:rsid w:val="7F4D8661"/>
    <w:rsid w:val="7FEFAE21"/>
    <w:rsid w:val="7FF7066D"/>
    <w:rsid w:val="9FBFAA5C"/>
    <w:rsid w:val="A1EB6AEF"/>
    <w:rsid w:val="BDFFA256"/>
    <w:rsid w:val="C6FF2B83"/>
    <w:rsid w:val="CFBF8125"/>
    <w:rsid w:val="CFDE778D"/>
    <w:rsid w:val="DFBB3AC9"/>
    <w:rsid w:val="E3FF10AF"/>
    <w:rsid w:val="EBFE3395"/>
    <w:rsid w:val="EDFB4679"/>
    <w:rsid w:val="FA7B974E"/>
    <w:rsid w:val="FB5C8B72"/>
    <w:rsid w:val="FF3914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14:defaultImageDpi w14:val="32767"/>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cs="Times New Roman" w:eastAsiaTheme="minorEastAsia"/>
      <w:kern w:val="0"/>
      <w:sz w:val="24"/>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rFonts w:ascii="Times New Roman" w:hAnsi="Times New Roman" w:cs="Times New Roman"/>
      <w:kern w:val="0"/>
      <w:sz w:val="18"/>
      <w:szCs w:val="18"/>
    </w:rPr>
  </w:style>
  <w:style w:type="character" w:customStyle="1" w:styleId="7">
    <w:name w:val="页脚 字符"/>
    <w:basedOn w:val="5"/>
    <w:link w:val="2"/>
    <w:qFormat/>
    <w:uiPriority w:val="99"/>
    <w:rPr>
      <w:rFonts w:ascii="Times New Roman" w:hAnsi="Times New Roman" w:cs="Times New Roman"/>
      <w:kern w:val="0"/>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682</Words>
  <Characters>743</Characters>
  <Lines>5</Lines>
  <Paragraphs>1</Paragraphs>
  <TotalTime>1</TotalTime>
  <ScaleCrop>false</ScaleCrop>
  <LinksUpToDate>false</LinksUpToDate>
  <CharactersWithSpaces>748</CharactersWithSpaces>
  <Application>WPS Office_6.13.2.8918_F1E327BC-269C-435d-A152-05C5408002CA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2020-11-08T10:39:00Z</dcterms:created>
  <dc:creator>Microsoft Office User</dc:creator>
  <cp:lastModifiedBy>lawyer</cp:lastModifiedBy>
  <cp:lastPrinted>2020-11-09T06:23:00Z</cp:lastPrinted>
  <dcterms:modified xsi:type="dcterms:W3CDTF">2024-12-18T16:27:16Z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2052-6.13.2.8918</vt:lpwstr>
  </property>
  <property fmtid="{D5CDD505-2E9C-101B-9397-08002B2CF9AE}" pid="3" name="ICV">
    <vt:lpwstr>AD625D9B0FB7F3E80A72B763946260C1</vt:lpwstr>
  </property>
</Properties>
</file>