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themeColor="text1"/>
          <w:sz w:val="44"/>
          <w:szCs w:val="44"/>
          <w14:textFill>
            <w14:solidFill>
              <w14:schemeClr w14:val="tx1"/>
            </w14:solidFill>
          </w14:textFill>
        </w:rPr>
      </w:pPr>
      <w:r>
        <w:rPr>
          <w:rFonts w:hint="eastAsia" w:ascii="宋体" w:hAnsi="宋体" w:eastAsia="宋体" w:cs="宋体"/>
          <w:b/>
          <w:bCs/>
          <w:color w:val="000000" w:themeColor="text1"/>
          <w:sz w:val="44"/>
          <w:szCs w:val="44"/>
          <w14:textFill>
            <w14:solidFill>
              <w14:schemeClr w14:val="tx1"/>
            </w14:solidFill>
          </w14:textFill>
        </w:rPr>
        <w:t>债权申报须知</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6</w:t>
      </w:r>
      <w:r>
        <w:rPr>
          <w:rFonts w:hint="eastAsia" w:ascii="宋体" w:hAnsi="宋体" w:eastAsia="宋体" w:cs="宋体"/>
          <w:sz w:val="24"/>
          <w:szCs w:val="24"/>
        </w:rPr>
        <w:t>月</w:t>
      </w:r>
      <w:r>
        <w:rPr>
          <w:rFonts w:hint="eastAsia" w:ascii="宋体" w:hAnsi="宋体" w:eastAsia="宋体" w:cs="宋体"/>
          <w:sz w:val="24"/>
          <w:szCs w:val="24"/>
          <w:lang w:val="en-US" w:eastAsia="zh-CN"/>
        </w:rPr>
        <w:t>21</w:t>
      </w:r>
      <w:r>
        <w:rPr>
          <w:rFonts w:hint="eastAsia" w:ascii="宋体" w:hAnsi="宋体" w:eastAsia="宋体" w:cs="宋体"/>
          <w:sz w:val="24"/>
          <w:szCs w:val="24"/>
        </w:rPr>
        <w:t>日，</w:t>
      </w:r>
      <w:r>
        <w:rPr>
          <w:rFonts w:hint="eastAsia" w:ascii="宋体" w:hAnsi="宋体" w:eastAsia="宋体" w:cs="宋体"/>
          <w:sz w:val="24"/>
          <w:szCs w:val="24"/>
          <w:lang w:val="en-US" w:eastAsia="zh-CN"/>
        </w:rPr>
        <w:t>宁波市北仑区</w:t>
      </w:r>
      <w:r>
        <w:rPr>
          <w:rFonts w:hint="eastAsia" w:ascii="宋体" w:hAnsi="宋体" w:eastAsia="宋体" w:cs="宋体"/>
          <w:sz w:val="24"/>
          <w:szCs w:val="24"/>
        </w:rPr>
        <w:t>人民法院作出（2024）浙0206</w:t>
      </w:r>
      <w:r>
        <w:rPr>
          <w:rFonts w:hint="eastAsia" w:ascii="宋体" w:hAnsi="宋体" w:eastAsia="宋体" w:cs="宋体"/>
          <w:sz w:val="24"/>
          <w:szCs w:val="24"/>
          <w:lang w:val="en-US" w:eastAsia="zh-CN"/>
        </w:rPr>
        <w:t>清申4</w:t>
      </w:r>
      <w:r>
        <w:rPr>
          <w:rFonts w:hint="eastAsia" w:ascii="宋体" w:hAnsi="宋体" w:eastAsia="宋体" w:cs="宋体"/>
          <w:sz w:val="24"/>
          <w:szCs w:val="24"/>
        </w:rPr>
        <w:t>号《民事裁定书》，裁定受理</w:t>
      </w:r>
      <w:r>
        <w:rPr>
          <w:rFonts w:hint="eastAsia" w:ascii="宋体" w:hAnsi="宋体" w:eastAsia="宋体" w:cs="宋体"/>
          <w:sz w:val="24"/>
          <w:szCs w:val="24"/>
          <w:lang w:eastAsia="zh-CN"/>
        </w:rPr>
        <w:t>宁波梅山保税港区久盈未来影视投资合伙企业（有限合伙）（</w:t>
      </w:r>
      <w:r>
        <w:rPr>
          <w:rFonts w:hint="eastAsia" w:ascii="宋体" w:hAnsi="宋体" w:eastAsia="宋体" w:cs="宋体"/>
          <w:sz w:val="24"/>
          <w:szCs w:val="24"/>
          <w:lang w:val="en-US" w:eastAsia="zh-CN"/>
        </w:rPr>
        <w:t>以下简称“久盈公司”）</w:t>
      </w:r>
      <w:r>
        <w:rPr>
          <w:rFonts w:hint="eastAsia" w:ascii="宋体" w:hAnsi="宋体" w:eastAsia="宋体" w:cs="宋体"/>
          <w:sz w:val="24"/>
          <w:szCs w:val="24"/>
          <w:lang w:eastAsia="zh-CN"/>
        </w:rPr>
        <w:t>强制</w:t>
      </w:r>
      <w:r>
        <w:rPr>
          <w:rFonts w:hint="eastAsia" w:ascii="宋体" w:hAnsi="宋体" w:eastAsia="宋体" w:cs="宋体"/>
          <w:sz w:val="24"/>
          <w:szCs w:val="24"/>
        </w:rPr>
        <w:t>清算一案，并于</w:t>
      </w:r>
      <w:r>
        <w:rPr>
          <w:rFonts w:hint="eastAsia" w:ascii="宋体" w:hAnsi="宋体" w:eastAsia="宋体" w:cs="宋体"/>
          <w:sz w:val="24"/>
          <w:szCs w:val="24"/>
          <w:lang w:val="en-US" w:eastAsia="zh-CN"/>
        </w:rPr>
        <w:t>2024年7月24日</w:t>
      </w:r>
      <w:bookmarkStart w:id="0" w:name="_GoBack"/>
      <w:bookmarkEnd w:id="0"/>
      <w:r>
        <w:rPr>
          <w:rFonts w:hint="eastAsia" w:ascii="宋体" w:hAnsi="宋体" w:eastAsia="宋体" w:cs="宋体"/>
          <w:sz w:val="24"/>
          <w:szCs w:val="24"/>
        </w:rPr>
        <w:t>指定浙江太安律师事务所为</w:t>
      </w:r>
      <w:r>
        <w:rPr>
          <w:rFonts w:hint="eastAsia" w:ascii="宋体" w:hAnsi="宋体" w:eastAsia="宋体" w:cs="宋体"/>
          <w:sz w:val="24"/>
          <w:szCs w:val="24"/>
          <w:lang w:val="en-US" w:eastAsia="zh-CN"/>
        </w:rPr>
        <w:t>久盈公司清算组成员，周文献担任清算组负责人</w:t>
      </w:r>
      <w:r>
        <w:rPr>
          <w:rFonts w:hint="eastAsia" w:ascii="宋体" w:hAnsi="宋体" w:eastAsia="宋体" w:cs="宋体"/>
          <w:sz w:val="24"/>
          <w:szCs w:val="24"/>
        </w:rPr>
        <w:t>。</w:t>
      </w:r>
      <w:r>
        <w:rPr>
          <w:rFonts w:hint="eastAsia" w:ascii="宋体" w:hAnsi="宋体" w:eastAsia="宋体" w:cs="宋体"/>
          <w:color w:val="000000" w:themeColor="text1"/>
          <w:sz w:val="24"/>
          <w:szCs w:val="24"/>
          <w14:textFill>
            <w14:solidFill>
              <w14:schemeClr w14:val="tx1"/>
            </w14:solidFill>
          </w14:textFill>
        </w:rPr>
        <w:t>为明确债权人及利害关系人在债权申报阶段之权利、义务，特作如下须知：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一、债权申报期限</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管理人</w:t>
      </w:r>
      <w:r>
        <w:rPr>
          <w:rFonts w:hint="eastAsia" w:ascii="宋体" w:hAnsi="宋体" w:eastAsia="宋体" w:cs="宋体"/>
          <w:color w:val="000000" w:themeColor="text1"/>
          <w:sz w:val="24"/>
          <w:szCs w:val="24"/>
          <w:highlight w:val="none"/>
          <w14:textFill>
            <w14:solidFill>
              <w14:schemeClr w14:val="tx1"/>
            </w14:solidFill>
          </w14:textFill>
        </w:rPr>
        <w:t>于202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lang w:val="en-US" w:eastAsia="zh-CN"/>
          <w14:textFill>
            <w14:solidFill>
              <w14:schemeClr w14:val="tx1"/>
            </w14:solidFill>
          </w14:textFill>
        </w:rPr>
        <w:t>25</w:t>
      </w:r>
      <w:r>
        <w:rPr>
          <w:rFonts w:hint="eastAsia" w:ascii="宋体" w:hAnsi="宋体" w:eastAsia="宋体" w:cs="宋体"/>
          <w:color w:val="000000" w:themeColor="text1"/>
          <w:sz w:val="24"/>
          <w:szCs w:val="24"/>
          <w:highlight w:val="none"/>
          <w14:textFill>
            <w14:solidFill>
              <w14:schemeClr w14:val="tx1"/>
            </w14:solidFill>
          </w14:textFill>
        </w:rPr>
        <w:t>日发布了受理</w:t>
      </w:r>
      <w:r>
        <w:rPr>
          <w:rFonts w:hint="eastAsia" w:ascii="宋体" w:hAnsi="宋体" w:eastAsia="宋体" w:cs="宋体"/>
          <w:sz w:val="24"/>
          <w:szCs w:val="24"/>
          <w:lang w:val="en-US" w:eastAsia="zh-CN"/>
        </w:rPr>
        <w:t>久盈公司</w:t>
      </w:r>
      <w:r>
        <w:rPr>
          <w:rFonts w:hint="eastAsia" w:ascii="宋体" w:hAnsi="宋体" w:eastAsia="宋体" w:cs="宋体"/>
          <w:color w:val="000000" w:themeColor="text1"/>
          <w:sz w:val="24"/>
          <w:szCs w:val="24"/>
          <w:highlight w:val="none"/>
          <w:lang w:eastAsia="zh-CN"/>
          <w14:textFill>
            <w14:solidFill>
              <w14:schemeClr w14:val="tx1"/>
            </w14:solidFill>
          </w14:textFill>
        </w:rPr>
        <w:t>强制</w:t>
      </w:r>
      <w:r>
        <w:rPr>
          <w:rFonts w:hint="eastAsia" w:ascii="宋体" w:hAnsi="宋体" w:eastAsia="宋体" w:cs="宋体"/>
          <w:color w:val="000000" w:themeColor="text1"/>
          <w:sz w:val="24"/>
          <w:szCs w:val="24"/>
          <w:highlight w:val="none"/>
          <w14:textFill>
            <w14:solidFill>
              <w14:schemeClr w14:val="tx1"/>
            </w14:solidFill>
          </w14:textFill>
        </w:rPr>
        <w:t>清算公告。为保障债权人利益，债权人应当在</w:t>
      </w:r>
      <w:r>
        <w:rPr>
          <w:rFonts w:hint="eastAsia" w:ascii="宋体" w:hAnsi="宋体" w:eastAsia="宋体" w:cs="宋体"/>
          <w:color w:val="000000" w:themeColor="text1"/>
          <w:sz w:val="24"/>
          <w:szCs w:val="24"/>
          <w:highlight w:val="none"/>
          <w:lang w:val="en-US" w:eastAsia="zh-CN"/>
          <w14:textFill>
            <w14:solidFill>
              <w14:schemeClr w14:val="tx1"/>
            </w14:solidFill>
          </w14:textFill>
        </w:rPr>
        <w:t>公告发布之日起45日内</w:t>
      </w:r>
      <w:r>
        <w:rPr>
          <w:rFonts w:hint="eastAsia" w:ascii="宋体" w:hAnsi="宋体" w:eastAsia="宋体" w:cs="宋体"/>
          <w:color w:val="000000" w:themeColor="text1"/>
          <w:sz w:val="24"/>
          <w:szCs w:val="24"/>
          <w:highlight w:val="none"/>
          <w14:textFill>
            <w14:solidFill>
              <w14:schemeClr w14:val="tx1"/>
            </w14:solidFill>
          </w14:textFill>
        </w:rPr>
        <w:t>完</w:t>
      </w:r>
      <w:r>
        <w:rPr>
          <w:rFonts w:hint="eastAsia" w:ascii="宋体" w:hAnsi="宋体" w:eastAsia="宋体" w:cs="宋体"/>
          <w:color w:val="000000" w:themeColor="text1"/>
          <w:sz w:val="24"/>
          <w:szCs w:val="24"/>
          <w14:textFill>
            <w14:solidFill>
              <w14:schemeClr w14:val="tx1"/>
            </w14:solidFill>
          </w14:textFill>
        </w:rPr>
        <w:t>成债权申报。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二、债权申报注意事项</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未到期的债权，债权人可以</w:t>
      </w:r>
      <w:r>
        <w:rPr>
          <w:rFonts w:hint="eastAsia" w:ascii="宋体" w:hAnsi="宋体" w:eastAsia="宋体" w:cs="宋体"/>
          <w:color w:val="000000" w:themeColor="text1"/>
          <w:sz w:val="24"/>
          <w:szCs w:val="24"/>
          <w:lang w:val="en-US" w:eastAsia="zh-CN"/>
          <w14:textFill>
            <w14:solidFill>
              <w14:schemeClr w14:val="tx1"/>
            </w14:solidFill>
          </w14:textFill>
        </w:rPr>
        <w:t>先</w:t>
      </w:r>
      <w:r>
        <w:rPr>
          <w:rFonts w:hint="eastAsia" w:ascii="宋体" w:hAnsi="宋体" w:eastAsia="宋体" w:cs="宋体"/>
          <w:color w:val="000000" w:themeColor="text1"/>
          <w:sz w:val="24"/>
          <w:szCs w:val="24"/>
          <w14:textFill>
            <w14:solidFill>
              <w14:schemeClr w14:val="tx1"/>
            </w14:solidFill>
          </w14:textFill>
        </w:rPr>
        <w:t>申报</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并在申报时注明</w:t>
      </w:r>
      <w:r>
        <w:rPr>
          <w:rFonts w:hint="eastAsia" w:ascii="宋体" w:hAnsi="宋体" w:eastAsia="宋体" w:cs="宋体"/>
          <w:color w:val="000000" w:themeColor="text1"/>
          <w:sz w:val="24"/>
          <w:szCs w:val="24"/>
          <w14:textFill>
            <w14:solidFill>
              <w14:schemeClr w14:val="tx1"/>
            </w14:solidFill>
          </w14:textFill>
        </w:rPr>
        <w:t>；</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附利息的债权，</w:t>
      </w:r>
      <w:r>
        <w:rPr>
          <w:rFonts w:hint="eastAsia" w:ascii="宋体" w:hAnsi="宋体" w:eastAsia="宋体" w:cs="宋体"/>
          <w:color w:val="000000" w:themeColor="text1"/>
          <w:sz w:val="24"/>
          <w:szCs w:val="24"/>
          <w:lang w:val="en-US" w:eastAsia="zh-CN"/>
          <w14:textFill>
            <w14:solidFill>
              <w14:schemeClr w14:val="tx1"/>
            </w14:solidFill>
          </w14:textFill>
        </w:rPr>
        <w:t>为方便核算，暂计至</w:t>
      </w:r>
      <w:r>
        <w:rPr>
          <w:rFonts w:hint="eastAsia" w:ascii="宋体" w:hAnsi="宋体" w:eastAsia="宋体" w:cs="宋体"/>
          <w:color w:val="000000" w:themeColor="text1"/>
          <w:sz w:val="24"/>
          <w:szCs w:val="24"/>
          <w14:textFill>
            <w14:solidFill>
              <w14:schemeClr w14:val="tx1"/>
            </w14:solidFill>
          </w14:textFill>
        </w:rPr>
        <w:t>202</w:t>
      </w: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21</w:t>
      </w:r>
      <w:r>
        <w:rPr>
          <w:rFonts w:hint="eastAsia" w:ascii="宋体" w:hAnsi="宋体" w:eastAsia="宋体" w:cs="宋体"/>
          <w:color w:val="000000" w:themeColor="text1"/>
          <w:sz w:val="24"/>
          <w:szCs w:val="24"/>
          <w14:textFill>
            <w14:solidFill>
              <w14:schemeClr w14:val="tx1"/>
            </w14:solidFill>
          </w14:textFill>
        </w:rPr>
        <w:t>日</w:t>
      </w:r>
      <w:r>
        <w:rPr>
          <w:rFonts w:hint="eastAsia" w:ascii="宋体" w:hAnsi="宋体" w:eastAsia="宋体" w:cs="宋体"/>
          <w:color w:val="000000" w:themeColor="text1"/>
          <w:sz w:val="24"/>
          <w:szCs w:val="24"/>
          <w:lang w:eastAsia="zh-CN"/>
          <w14:textFill>
            <w14:solidFill>
              <w14:schemeClr w14:val="tx1"/>
            </w14:solidFill>
          </w14:textFill>
        </w:rPr>
        <w:t>强制</w:t>
      </w:r>
      <w:r>
        <w:rPr>
          <w:rFonts w:hint="eastAsia" w:ascii="宋体" w:hAnsi="宋体" w:eastAsia="宋体" w:cs="宋体"/>
          <w:color w:val="000000" w:themeColor="text1"/>
          <w:sz w:val="24"/>
          <w:szCs w:val="24"/>
          <w14:textFill>
            <w14:solidFill>
              <w14:schemeClr w14:val="tx1"/>
            </w14:solidFill>
          </w14:textFill>
        </w:rPr>
        <w:t>申请受理时</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后续清算组将在分配前再次核算</w:t>
      </w:r>
      <w:r>
        <w:rPr>
          <w:rFonts w:hint="eastAsia" w:ascii="宋体" w:hAnsi="宋体" w:eastAsia="宋体" w:cs="宋体"/>
          <w:color w:val="000000" w:themeColor="text1"/>
          <w:sz w:val="24"/>
          <w:szCs w:val="24"/>
          <w14:textFill>
            <w14:solidFill>
              <w14:schemeClr w14:val="tx1"/>
            </w14:solidFill>
          </w14:textFill>
        </w:rPr>
        <w:t>；</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附条件、附期限的债权和诉讼、仲裁未决的债权，债权人可以</w:t>
      </w:r>
      <w:r>
        <w:rPr>
          <w:rFonts w:hint="eastAsia" w:ascii="宋体" w:hAnsi="宋体" w:eastAsia="宋体" w:cs="宋体"/>
          <w:color w:val="000000" w:themeColor="text1"/>
          <w:sz w:val="24"/>
          <w:szCs w:val="24"/>
          <w:lang w:val="en-US" w:eastAsia="zh-CN"/>
          <w14:textFill>
            <w14:solidFill>
              <w14:schemeClr w14:val="tx1"/>
            </w14:solidFill>
          </w14:textFill>
        </w:rPr>
        <w:t>先</w:t>
      </w:r>
      <w:r>
        <w:rPr>
          <w:rFonts w:hint="eastAsia" w:ascii="宋体" w:hAnsi="宋体" w:eastAsia="宋体" w:cs="宋体"/>
          <w:color w:val="000000" w:themeColor="text1"/>
          <w:sz w:val="24"/>
          <w:szCs w:val="24"/>
          <w14:textFill>
            <w14:solidFill>
              <w14:schemeClr w14:val="tx1"/>
            </w14:solidFill>
          </w14:textFill>
        </w:rPr>
        <w:t>申报；</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债权人申报债权时，应当书面说明债权的数额和有无财产担保情况，并提交有关证据，申报的债权是连带债权的，应当说明；</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法律规定其他可以申报的债权，债权人可以申报。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三、未申报或逾期申报法律后果</w:t>
      </w:r>
    </w:p>
    <w:p>
      <w:pPr>
        <w:pStyle w:val="9"/>
        <w:spacing w:line="480" w:lineRule="exact"/>
        <w:ind w:left="480" w:firstLine="0" w:firstLineChars="0"/>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未在上述期限内申报债权的，可以在公司清算程序终结前补充申报</w:t>
      </w:r>
      <w:r>
        <w:rPr>
          <w:rFonts w:hint="eastAsia" w:ascii="宋体" w:hAnsi="宋体" w:eastAsia="宋体" w:cs="宋体"/>
          <w:b w:val="0"/>
          <w:bCs w:val="0"/>
          <w:color w:val="000000" w:themeColor="text1"/>
          <w:sz w:val="24"/>
          <w:szCs w:val="24"/>
          <w:lang w:eastAsia="zh-CN"/>
          <w14:textFill>
            <w14:solidFill>
              <w14:schemeClr w14:val="tx1"/>
            </w14:solidFill>
          </w14:textFill>
        </w:rPr>
        <w:t>。</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四、债权申报应提交的材料</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申报人应当如实、详细填写《债权申报表》以及提供完整、真实有效的申报材料。申报债权应提供如下材料：</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债权申报提交文件清单</w:t>
      </w:r>
      <w:r>
        <w:rPr>
          <w:rFonts w:hint="eastAsia" w:ascii="宋体" w:hAnsi="宋体" w:eastAsia="宋体" w:cs="宋体"/>
          <w:b/>
          <w:bCs/>
          <w:color w:val="000000" w:themeColor="text1"/>
          <w:sz w:val="24"/>
          <w:szCs w:val="24"/>
          <w14:textFill>
            <w14:solidFill>
              <w14:schemeClr w14:val="tx1"/>
            </w14:solidFill>
          </w14:textFill>
        </w:rPr>
        <w:t>一份</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申报提交文件清单应为原件（债权人盖章或签字），清单上应填写相应内容。</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债权申报人主体资格的材料</w:t>
      </w:r>
      <w:r>
        <w:rPr>
          <w:rFonts w:hint="eastAsia" w:ascii="宋体" w:hAnsi="宋体" w:eastAsia="宋体" w:cs="宋体"/>
          <w:b/>
          <w:bCs/>
          <w:color w:val="000000" w:themeColor="text1"/>
          <w:sz w:val="24"/>
          <w:szCs w:val="24"/>
          <w14:textFill>
            <w14:solidFill>
              <w14:schemeClr w14:val="tx1"/>
            </w14:solidFill>
          </w14:textFill>
        </w:rPr>
        <w:t>一份</w:t>
      </w:r>
    </w:p>
    <w:p>
      <w:pPr>
        <w:pStyle w:val="9"/>
        <w:numPr>
          <w:ilvl w:val="0"/>
          <w:numId w:val="3"/>
        </w:numPr>
        <w:spacing w:line="480" w:lineRule="exact"/>
        <w:ind w:left="0"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自然人债权人须提交的材料</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pPr>
        <w:pStyle w:val="9"/>
        <w:numPr>
          <w:ilvl w:val="0"/>
          <w:numId w:val="3"/>
        </w:numPr>
        <w:spacing w:line="480" w:lineRule="exact"/>
        <w:ind w:left="0"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非自然人（包括法人、其他组织等）债权人须提交的材料：</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有效的营业执照复印件（需加盖公章）、组织机构代码证复印件（加盖公章）、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pPr>
        <w:spacing w:line="480" w:lineRule="exact"/>
        <w:ind w:firstLine="480" w:firstLineChars="200"/>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特别提醒：若债权人在申报债权时提交</w:t>
      </w:r>
      <w:r>
        <w:rPr>
          <w:rFonts w:hint="eastAsia" w:ascii="宋体" w:hAnsi="宋体" w:eastAsia="宋体" w:cs="宋体"/>
          <w:b/>
          <w:color w:val="000000" w:themeColor="text1"/>
          <w:sz w:val="24"/>
          <w:szCs w:val="24"/>
          <w:lang w:val="en-US" w:eastAsia="zh-CN"/>
          <w14:textFill>
            <w14:solidFill>
              <w14:schemeClr w14:val="tx1"/>
            </w14:solidFill>
          </w14:textFill>
        </w:rPr>
        <w:t>的</w:t>
      </w:r>
      <w:r>
        <w:rPr>
          <w:rFonts w:hint="eastAsia" w:ascii="宋体" w:hAnsi="宋体" w:eastAsia="宋体" w:cs="宋体"/>
          <w:b/>
          <w:color w:val="000000" w:themeColor="text1"/>
          <w:sz w:val="24"/>
          <w:szCs w:val="24"/>
          <w14:textFill>
            <w14:solidFill>
              <w14:schemeClr w14:val="tx1"/>
            </w14:solidFill>
          </w14:textFill>
        </w:rPr>
        <w:t>前述文件发生变化，则需</w:t>
      </w:r>
      <w:r>
        <w:rPr>
          <w:rFonts w:hint="eastAsia" w:ascii="宋体" w:hAnsi="宋体" w:eastAsia="宋体" w:cs="宋体"/>
          <w:b/>
          <w:color w:val="000000" w:themeColor="text1"/>
          <w:sz w:val="24"/>
          <w:szCs w:val="24"/>
          <w:lang w:val="en-US" w:eastAsia="zh-CN"/>
          <w14:textFill>
            <w14:solidFill>
              <w14:schemeClr w14:val="tx1"/>
            </w14:solidFill>
          </w14:textFill>
        </w:rPr>
        <w:t>及时</w:t>
      </w:r>
      <w:r>
        <w:rPr>
          <w:rFonts w:hint="eastAsia" w:ascii="宋体" w:hAnsi="宋体" w:eastAsia="宋体" w:cs="宋体"/>
          <w:b/>
          <w:color w:val="000000" w:themeColor="text1"/>
          <w:sz w:val="24"/>
          <w:szCs w:val="24"/>
          <w14:textFill>
            <w14:solidFill>
              <w14:schemeClr w14:val="tx1"/>
            </w14:solidFill>
          </w14:textFill>
        </w:rPr>
        <w:t>提供变更后的前述文件。</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债权申报表</w:t>
      </w:r>
      <w:r>
        <w:rPr>
          <w:rFonts w:hint="eastAsia" w:ascii="宋体" w:hAnsi="宋体" w:eastAsia="宋体" w:cs="宋体"/>
          <w:b/>
          <w:bCs/>
          <w:color w:val="000000" w:themeColor="text1"/>
          <w:sz w:val="24"/>
          <w:szCs w:val="24"/>
          <w14:textFill>
            <w14:solidFill>
              <w14:schemeClr w14:val="tx1"/>
            </w14:solidFill>
          </w14:textFill>
        </w:rPr>
        <w:t>一式二份</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提交的债权申报表须为原件（债权人盖章或签字）。</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证明债权事实的相关证据材料</w:t>
      </w:r>
      <w:r>
        <w:rPr>
          <w:rFonts w:hint="eastAsia" w:ascii="宋体" w:hAnsi="宋体" w:eastAsia="宋体" w:cs="宋体"/>
          <w:b/>
          <w:bCs/>
          <w:color w:val="000000" w:themeColor="text1"/>
          <w:sz w:val="24"/>
          <w:szCs w:val="24"/>
          <w14:textFill>
            <w14:solidFill>
              <w14:schemeClr w14:val="tx1"/>
            </w14:solidFill>
          </w14:textFill>
        </w:rPr>
        <w:t>一式二份</w:t>
      </w:r>
    </w:p>
    <w:p>
      <w:pPr>
        <w:pStyle w:val="9"/>
        <w:numPr>
          <w:ilvl w:val="0"/>
          <w:numId w:val="4"/>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合同、收款付款凭证、收货单、对账单等各类债权资料；</w:t>
      </w:r>
    </w:p>
    <w:p>
      <w:pPr>
        <w:pStyle w:val="9"/>
        <w:numPr>
          <w:ilvl w:val="0"/>
          <w:numId w:val="4"/>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债权如有担保的，还须提交抵押合同、质押合同、保证合同及相关的登记证件等担保原始材料；</w:t>
      </w:r>
    </w:p>
    <w:p>
      <w:pPr>
        <w:pStyle w:val="9"/>
        <w:numPr>
          <w:ilvl w:val="0"/>
          <w:numId w:val="4"/>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pPr>
        <w:pStyle w:val="9"/>
        <w:numPr>
          <w:ilvl w:val="0"/>
          <w:numId w:val="4"/>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申报人在诉讼或仲裁程序中申请财产保全的，须提交法院作出的保全裁定书等关文件；</w:t>
      </w:r>
    </w:p>
    <w:p>
      <w:pPr>
        <w:pStyle w:val="9"/>
        <w:numPr>
          <w:ilvl w:val="0"/>
          <w:numId w:val="4"/>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能够证明债权发生、变更、存续、诉讼时效中止、中断、延长及债权金额的其他材料；</w:t>
      </w:r>
    </w:p>
    <w:p>
      <w:pPr>
        <w:pStyle w:val="9"/>
        <w:numPr>
          <w:ilvl w:val="0"/>
          <w:numId w:val="4"/>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债权如有偿还或其他抵债情形的，则须提供偿债凭证、协议或以物抵债协议等相关材料；</w:t>
      </w:r>
    </w:p>
    <w:p>
      <w:pPr>
        <w:pStyle w:val="9"/>
        <w:numPr>
          <w:ilvl w:val="0"/>
          <w:numId w:val="4"/>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其他能够证明债权成立的依据。</w:t>
      </w:r>
    </w:p>
    <w:p>
      <w:pPr>
        <w:pStyle w:val="9"/>
        <w:spacing w:line="480" w:lineRule="exact"/>
        <w:ind w:firstLine="482"/>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提交的上述（1）至（7）项申报债权证据应提交原件（原件核对后归还）一份、复印件二份（盖章或签字确认）。</w:t>
      </w:r>
    </w:p>
    <w:p>
      <w:pPr>
        <w:spacing w:line="480" w:lineRule="exact"/>
        <w:ind w:firstLine="480"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五、填写表格需注意的问题</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申报债权的金额：申报的债权金额必须确定（针对同一债务人，同一法人、组织或个人只能申报一个债权总额）。</w:t>
      </w:r>
    </w:p>
    <w:p>
      <w:pPr>
        <w:pStyle w:val="9"/>
        <w:numPr>
          <w:ilvl w:val="0"/>
          <w:numId w:val="5"/>
        </w:numPr>
        <w:spacing w:line="480" w:lineRule="exact"/>
        <w:ind w:firstLine="48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利息债权：附利息的债权，利息</w:t>
      </w:r>
      <w:r>
        <w:rPr>
          <w:rFonts w:hint="eastAsia" w:ascii="宋体" w:hAnsi="宋体" w:eastAsia="宋体" w:cs="宋体"/>
          <w:color w:val="000000" w:themeColor="text1"/>
          <w:sz w:val="24"/>
          <w:szCs w:val="24"/>
          <w:lang w:val="en-US" w:eastAsia="zh-CN"/>
          <w14:textFill>
            <w14:solidFill>
              <w14:schemeClr w14:val="tx1"/>
            </w14:solidFill>
          </w14:textFill>
        </w:rPr>
        <w:t>暂</w:t>
      </w:r>
      <w:r>
        <w:rPr>
          <w:rFonts w:hint="eastAsia" w:ascii="宋体" w:hAnsi="宋体" w:eastAsia="宋体" w:cs="宋体"/>
          <w:color w:val="000000" w:themeColor="text1"/>
          <w:sz w:val="24"/>
          <w:szCs w:val="24"/>
          <w14:textFill>
            <w14:solidFill>
              <w14:schemeClr w14:val="tx1"/>
            </w14:solidFill>
          </w14:textFill>
        </w:rPr>
        <w:t>计算到</w:t>
      </w:r>
      <w:r>
        <w:rPr>
          <w:rFonts w:hint="eastAsia" w:ascii="宋体" w:hAnsi="宋体" w:eastAsia="宋体" w:cs="宋体"/>
          <w:color w:val="000000" w:themeColor="text1"/>
          <w:sz w:val="24"/>
          <w:szCs w:val="24"/>
          <w:lang w:eastAsia="zh-CN"/>
          <w14:textFill>
            <w14:solidFill>
              <w14:schemeClr w14:val="tx1"/>
            </w14:solidFill>
          </w14:textFill>
        </w:rPr>
        <w:t>强制</w:t>
      </w:r>
      <w:r>
        <w:rPr>
          <w:rFonts w:hint="eastAsia" w:ascii="宋体" w:hAnsi="宋体" w:eastAsia="宋体" w:cs="宋体"/>
          <w:color w:val="000000" w:themeColor="text1"/>
          <w:sz w:val="24"/>
          <w:szCs w:val="24"/>
          <w14:textFill>
            <w14:solidFill>
              <w14:schemeClr w14:val="tx1"/>
            </w14:solidFill>
          </w14:textFill>
        </w:rPr>
        <w:t>申请受理时，即202</w:t>
      </w: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21</w:t>
      </w:r>
      <w:r>
        <w:rPr>
          <w:rFonts w:hint="eastAsia" w:ascii="宋体" w:hAnsi="宋体" w:eastAsia="宋体" w:cs="宋体"/>
          <w:color w:val="000000" w:themeColor="text1"/>
          <w:sz w:val="24"/>
          <w:szCs w:val="24"/>
          <w14:textFill>
            <w14:solidFill>
              <w14:schemeClr w14:val="tx1"/>
            </w14:solidFill>
          </w14:textFill>
        </w:rPr>
        <w:t>日。</w:t>
      </w:r>
      <w:r>
        <w:rPr>
          <w:rFonts w:hint="eastAsia" w:ascii="宋体" w:hAnsi="宋体" w:eastAsia="宋体" w:cs="宋体"/>
          <w:b/>
          <w:bCs/>
          <w:color w:val="000000" w:themeColor="text1"/>
          <w:sz w:val="24"/>
          <w:szCs w:val="24"/>
          <w14:textFill>
            <w14:solidFill>
              <w14:schemeClr w14:val="tx1"/>
            </w14:solidFill>
          </w14:textFill>
        </w:rPr>
        <w:t>申报人应提供利息计算表，说明利息的计算依据、计算方法和计算结果，同时将正常利息与罚息、迟延利息、滞纳金等分开计算</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待最终分配时据实结算</w:t>
      </w:r>
      <w:r>
        <w:rPr>
          <w:rFonts w:hint="eastAsia" w:ascii="宋体" w:hAnsi="宋体" w:eastAsia="宋体" w:cs="宋体"/>
          <w:b/>
          <w:bCs/>
          <w:color w:val="000000" w:themeColor="text1"/>
          <w:sz w:val="24"/>
          <w:szCs w:val="24"/>
          <w14:textFill>
            <w14:solidFill>
              <w14:schemeClr w14:val="tx1"/>
            </w14:solidFill>
          </w14:textFill>
        </w:rPr>
        <w:t>。</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债权发生情况：简要陈述该债权的形成经过，另外对</w:t>
      </w:r>
      <w:r>
        <w:rPr>
          <w:rFonts w:hint="eastAsia" w:ascii="宋体" w:hAnsi="宋体" w:eastAsia="宋体" w:cs="宋体"/>
          <w:b/>
          <w:bCs/>
          <w:color w:val="000000" w:themeColor="text1"/>
          <w:sz w:val="24"/>
          <w:szCs w:val="24"/>
          <w14:textFill>
            <w14:solidFill>
              <w14:schemeClr w14:val="tx1"/>
            </w14:solidFill>
          </w14:textFill>
        </w:rPr>
        <w:t>已开票金额和未开票金额</w:t>
      </w:r>
      <w:r>
        <w:rPr>
          <w:rFonts w:hint="eastAsia" w:ascii="宋体" w:hAnsi="宋体" w:eastAsia="宋体" w:cs="宋体"/>
          <w:color w:val="000000" w:themeColor="text1"/>
          <w:sz w:val="24"/>
          <w:szCs w:val="24"/>
          <w14:textFill>
            <w14:solidFill>
              <w14:schemeClr w14:val="tx1"/>
            </w14:solidFill>
          </w14:textFill>
        </w:rPr>
        <w:t>应填写清楚；若涉及合同关系则该</w:t>
      </w:r>
      <w:r>
        <w:rPr>
          <w:rFonts w:hint="eastAsia" w:ascii="宋体" w:hAnsi="宋体" w:eastAsia="宋体" w:cs="宋体"/>
          <w:b/>
          <w:bCs/>
          <w:color w:val="000000" w:themeColor="text1"/>
          <w:sz w:val="24"/>
          <w:szCs w:val="24"/>
          <w14:textFill>
            <w14:solidFill>
              <w14:schemeClr w14:val="tx1"/>
            </w14:solidFill>
          </w14:textFill>
        </w:rPr>
        <w:t>合同是否已经履行完毕</w:t>
      </w:r>
      <w:r>
        <w:rPr>
          <w:rFonts w:hint="eastAsia" w:ascii="宋体" w:hAnsi="宋体" w:eastAsia="宋体" w:cs="宋体"/>
          <w:color w:val="000000" w:themeColor="text1"/>
          <w:sz w:val="24"/>
          <w:szCs w:val="24"/>
          <w14:textFill>
            <w14:solidFill>
              <w14:schemeClr w14:val="tx1"/>
            </w14:solidFill>
          </w14:textFill>
        </w:rPr>
        <w:t>要填写清楚。</w:t>
      </w:r>
    </w:p>
    <w:p>
      <w:pPr>
        <w:spacing w:line="480" w:lineRule="exact"/>
        <w:ind w:firstLine="480"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六、债权申报地点</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债权人应在指定申报地点进行申报，并务必携带债权申报证据原件以便与管理人核对，债权人未能在管理人确定的时间内提供证据原件核对的，债权人承担由此引起的不利后果。</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申报地址：浙江省宁波市鄞州区嘉会街288号宁波中心大厦32楼；邮政编码:315000；联系人:滕律师；联系电话: </w:t>
      </w:r>
      <w:r>
        <w:rPr>
          <w:rFonts w:hint="eastAsia" w:ascii="宋体" w:hAnsi="宋体" w:eastAsia="宋体" w:cs="宋体"/>
          <w:sz w:val="24"/>
          <w:szCs w:val="24"/>
        </w:rPr>
        <w:t>15</w:t>
      </w:r>
      <w:r>
        <w:rPr>
          <w:rFonts w:hint="eastAsia" w:ascii="宋体" w:hAnsi="宋体" w:eastAsia="宋体" w:cs="宋体"/>
          <w:sz w:val="24"/>
          <w:szCs w:val="24"/>
          <w:lang w:val="en-US" w:eastAsia="zh-CN"/>
        </w:rPr>
        <w:t>757870687；毛远哲，15867447510。</w:t>
      </w: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债权申报资料下载地址：</w:t>
      </w:r>
      <w:r>
        <w:rPr>
          <w:rFonts w:hint="eastAsia" w:ascii="宋体" w:hAnsi="宋体" w:eastAsia="宋体" w:cs="宋体"/>
        </w:rPr>
        <w:fldChar w:fldCharType="begin"/>
      </w:r>
      <w:r>
        <w:rPr>
          <w:rFonts w:hint="eastAsia" w:ascii="宋体" w:hAnsi="宋体" w:eastAsia="宋体" w:cs="宋体"/>
        </w:rPr>
        <w:instrText xml:space="preserve"> HYPERLINK "http://wwww.taianlawfirm.com" </w:instrText>
      </w:r>
      <w:r>
        <w:rPr>
          <w:rFonts w:hint="eastAsia" w:ascii="宋体" w:hAnsi="宋体" w:eastAsia="宋体" w:cs="宋体"/>
        </w:rPr>
        <w:fldChar w:fldCharType="separate"/>
      </w:r>
      <w:r>
        <w:rPr>
          <w:rStyle w:val="6"/>
          <w:rFonts w:hint="eastAsia" w:ascii="宋体" w:hAnsi="宋体" w:eastAsia="宋体" w:cs="宋体"/>
          <w:color w:val="000000" w:themeColor="text1"/>
          <w:sz w:val="24"/>
          <w:szCs w:val="24"/>
          <w14:textFill>
            <w14:solidFill>
              <w14:schemeClr w14:val="tx1"/>
            </w14:solidFill>
          </w14:textFill>
        </w:rPr>
        <w:t>www.taianlawfirm.com</w:t>
      </w:r>
      <w:r>
        <w:rPr>
          <w:rStyle w:val="6"/>
          <w:rFonts w:hint="eastAsia" w:ascii="宋体" w:hAnsi="宋体" w:eastAsia="宋体" w:cs="宋体"/>
          <w:color w:val="000000" w:themeColor="text1"/>
          <w:sz w:val="24"/>
          <w:szCs w:val="24"/>
          <w14:textFill>
            <w14:solidFill>
              <w14:schemeClr w14:val="tx1"/>
            </w14:solidFill>
          </w14:textFill>
        </w:rPr>
        <w:fldChar w:fldCharType="end"/>
      </w:r>
      <w:r>
        <w:rPr>
          <w:rFonts w:hint="eastAsia" w:ascii="宋体" w:hAnsi="宋体" w:eastAsia="宋体" w:cs="宋体"/>
          <w:color w:val="000000" w:themeColor="text1"/>
          <w:sz w:val="24"/>
          <w:szCs w:val="24"/>
          <w14:textFill>
            <w14:solidFill>
              <w14:schemeClr w14:val="tx1"/>
            </w14:solidFill>
          </w14:textFill>
        </w:rPr>
        <w:t>，进入页面后，选择“公示公告”，选择相关债权项目，点击通知项下“债权申报资料”进行下载，或关注“浙江太安律师事务所”微信公众号，选择“</w:t>
      </w:r>
      <w:r>
        <w:rPr>
          <w:rFonts w:hint="eastAsia" w:ascii="宋体" w:hAnsi="宋体" w:eastAsia="宋体" w:cs="宋体"/>
          <w:color w:val="000000" w:themeColor="text1"/>
          <w:sz w:val="24"/>
          <w:szCs w:val="24"/>
          <w:lang w:val="en-US" w:eastAsia="zh-CN"/>
          <w14:textFill>
            <w14:solidFill>
              <w14:schemeClr w14:val="tx1"/>
            </w14:solidFill>
          </w14:textFill>
        </w:rPr>
        <w:t>研究动态</w:t>
      </w:r>
      <w:r>
        <w:rPr>
          <w:rFonts w:hint="eastAsia" w:ascii="宋体" w:hAnsi="宋体" w:eastAsia="宋体" w:cs="宋体"/>
          <w:color w:val="000000" w:themeColor="text1"/>
          <w:sz w:val="24"/>
          <w:szCs w:val="24"/>
          <w14:textFill>
            <w14:solidFill>
              <w14:schemeClr w14:val="tx1"/>
            </w14:solidFill>
          </w14:textFill>
        </w:rPr>
        <w:t>”项下“公告通知”，选择相关债权项目，点击通知项下“债权申报资料”进行下载。</w:t>
      </w: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pStyle w:val="9"/>
        <w:spacing w:line="480" w:lineRule="exact"/>
        <w:ind w:firstLine="480"/>
        <w:jc w:val="right"/>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sz w:val="24"/>
          <w:szCs w:val="24"/>
          <w:lang w:eastAsia="zh-CN"/>
        </w:rPr>
        <w:t>宁波梅山保税港区久盈未来影视投资合伙企业（有限合伙）</w:t>
      </w:r>
      <w:r>
        <w:rPr>
          <w:rFonts w:hint="eastAsia" w:ascii="宋体" w:hAnsi="宋体" w:eastAsia="宋体" w:cs="宋体"/>
          <w:color w:val="000000" w:themeColor="text1"/>
          <w:sz w:val="24"/>
          <w:szCs w:val="24"/>
          <w:lang w:val="en-US" w:eastAsia="zh-CN"/>
          <w14:textFill>
            <w14:solidFill>
              <w14:schemeClr w14:val="tx1"/>
            </w14:solidFill>
          </w14:textFill>
        </w:rPr>
        <w:t>清算组</w:t>
      </w:r>
    </w:p>
    <w:p>
      <w:pPr>
        <w:pStyle w:val="9"/>
        <w:spacing w:line="480" w:lineRule="exact"/>
        <w:ind w:firstLine="480"/>
        <w:jc w:val="righ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二〇二</w:t>
      </w:r>
      <w:r>
        <w:rPr>
          <w:rFonts w:hint="eastAsia" w:ascii="宋体" w:hAnsi="宋体" w:eastAsia="宋体" w:cs="宋体"/>
          <w:color w:val="000000" w:themeColor="text1"/>
          <w:sz w:val="24"/>
          <w:szCs w:val="24"/>
          <w:lang w:val="en-US" w:eastAsia="zh-CN"/>
          <w14:textFill>
            <w14:solidFill>
              <w14:schemeClr w14:val="tx1"/>
            </w14:solidFill>
          </w14:textFill>
        </w:rPr>
        <w:t>四</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七</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二十五</w:t>
      </w:r>
      <w:r>
        <w:rPr>
          <w:rFonts w:hint="eastAsia" w:ascii="宋体" w:hAnsi="宋体" w:eastAsia="宋体" w:cs="宋体"/>
          <w:color w:val="000000" w:themeColor="text1"/>
          <w:sz w:val="24"/>
          <w:szCs w:val="24"/>
          <w14:textFill>
            <w14:solidFill>
              <w14:schemeClr w14:val="tx1"/>
            </w14:solidFill>
          </w14:textFill>
        </w:rPr>
        <w:t>日</w:t>
      </w:r>
    </w:p>
    <w:p>
      <w:pPr>
        <w:rPr>
          <w:rFonts w:hint="eastAsia" w:ascii="宋体" w:hAnsi="宋体" w:eastAsia="宋体" w:cs="宋体"/>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00"/>
    <w:family w:val="auto"/>
    <w:pitch w:val="default"/>
    <w:sig w:usb0="00000000" w:usb1="00000000" w:usb2="00000000" w:usb3="00000000" w:csb0="00000000" w:csb1="00000000"/>
  </w:font>
  <w:font w:name="Songti SC Regular">
    <w:panose1 w:val="02010800040101010101"/>
    <w:charset w:val="86"/>
    <w:family w:val="auto"/>
    <w:pitch w:val="default"/>
    <w:sig w:usb0="00000001" w:usb1="080F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3635" cy="19748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3635" cy="197485"/>
                      </a:xfrm>
                      <a:prstGeom prst="rect">
                        <a:avLst/>
                      </a:prstGeom>
                      <a:noFill/>
                      <a:ln>
                        <a:noFill/>
                      </a:ln>
                    </wps:spPr>
                    <wps:txbx>
                      <w:txbxContent>
                        <w:p>
                          <w:pPr>
                            <w:snapToGrid w:val="0"/>
                            <w:rPr>
                              <w:rFonts w:ascii="仿宋" w:hAnsi="仿宋" w:eastAsia="仿宋"/>
                              <w:sz w:val="24"/>
                              <w:szCs w:val="24"/>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5.55pt;width:90.05pt;mso-position-horizontal:center;mso-position-horizontal-relative:margin;mso-wrap-style:none;z-index:251659264;mso-width-relative:page;mso-height-relative:page;" filled="f" stroked="f" coordsize="21600,21600" o:gfxdata="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WAAAAZHJzL1BLAQIUABQAAAAIAIdO4kCnF29p0QAAAAQBAAAP&#10;AAAAAAAAAAEAIAAAADgAAABkcnMvZG93bnJldi54bWxQSwECFAAUAAAACACHTuJAidXT4wkCAAAD&#10;BAAADgAAAAAAAAABACAAAAA2AQAAZHJzL2Uyb0RvYy54bWxQSwUGAAAAAAYABgBZAQAAsQUAAAAA&#10;">
              <v:fill on="f" focussize="0,0"/>
              <v:stroke on="f"/>
              <v:imagedata o:title=""/>
              <o:lock v:ext="edit" aspectratio="f"/>
              <v:textbox inset="0mm,0mm,0mm,0mm" style="mso-fit-shape-to-text:t;">
                <w:txbxContent>
                  <w:p>
                    <w:pPr>
                      <w:snapToGrid w:val="0"/>
                      <w:rPr>
                        <w:rFonts w:ascii="仿宋" w:hAnsi="仿宋" w:eastAsia="仿宋"/>
                        <w:sz w:val="24"/>
                        <w:szCs w:val="24"/>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Songti SC Regular" w:hAnsi="Songti SC Regular" w:eastAsia="Songti SC Regular" w:cs="Songti SC Regular"/>
      </w:rPr>
    </w:pPr>
    <w:r>
      <w:rPr>
        <w:rFonts w:hint="eastAsia" w:ascii="Songti SC Regular" w:hAnsi="Songti SC Regular" w:eastAsia="Songti SC Regular" w:cs="Songti SC Regular"/>
        <w:lang w:eastAsia="zh-CN"/>
      </w:rPr>
      <w:t>宁波梅山保税港区久盈未来影视投资合伙企业（有限合伙）强制</w:t>
    </w:r>
    <w:r>
      <w:rPr>
        <w:rFonts w:hint="eastAsia" w:ascii="Songti SC Regular" w:hAnsi="Songti SC Regular" w:eastAsia="Songti SC Regular" w:cs="Songti SC Regular"/>
      </w:rPr>
      <w:t>清算案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186264"/>
    <w:multiLevelType w:val="multilevel"/>
    <w:tmpl w:val="1D186264"/>
    <w:lvl w:ilvl="0" w:tentative="0">
      <w:start w:val="1"/>
      <w:numFmt w:val="decimal"/>
      <w:lvlText w:val="（%1）"/>
      <w:lvlJc w:val="left"/>
      <w:pPr>
        <w:ind w:left="2295" w:hanging="720"/>
      </w:pPr>
      <w:rPr>
        <w:rFonts w:hint="default"/>
      </w:rPr>
    </w:lvl>
    <w:lvl w:ilvl="1" w:tentative="0">
      <w:start w:val="1"/>
      <w:numFmt w:val="lowerLetter"/>
      <w:lvlText w:val="%2)"/>
      <w:lvlJc w:val="left"/>
      <w:pPr>
        <w:ind w:left="2415" w:hanging="420"/>
      </w:pPr>
    </w:lvl>
    <w:lvl w:ilvl="2" w:tentative="0">
      <w:start w:val="1"/>
      <w:numFmt w:val="lowerRoman"/>
      <w:lvlText w:val="%3."/>
      <w:lvlJc w:val="right"/>
      <w:pPr>
        <w:ind w:left="2835" w:hanging="420"/>
      </w:pPr>
    </w:lvl>
    <w:lvl w:ilvl="3" w:tentative="0">
      <w:start w:val="1"/>
      <w:numFmt w:val="decimal"/>
      <w:lvlText w:val="%4."/>
      <w:lvlJc w:val="left"/>
      <w:pPr>
        <w:ind w:left="3255" w:hanging="420"/>
      </w:pPr>
    </w:lvl>
    <w:lvl w:ilvl="4" w:tentative="0">
      <w:start w:val="1"/>
      <w:numFmt w:val="lowerLetter"/>
      <w:lvlText w:val="%5)"/>
      <w:lvlJc w:val="left"/>
      <w:pPr>
        <w:ind w:left="3675" w:hanging="420"/>
      </w:pPr>
    </w:lvl>
    <w:lvl w:ilvl="5" w:tentative="0">
      <w:start w:val="1"/>
      <w:numFmt w:val="lowerRoman"/>
      <w:lvlText w:val="%6."/>
      <w:lvlJc w:val="right"/>
      <w:pPr>
        <w:ind w:left="4095" w:hanging="420"/>
      </w:pPr>
    </w:lvl>
    <w:lvl w:ilvl="6" w:tentative="0">
      <w:start w:val="1"/>
      <w:numFmt w:val="decimal"/>
      <w:lvlText w:val="%7."/>
      <w:lvlJc w:val="left"/>
      <w:pPr>
        <w:ind w:left="4515" w:hanging="420"/>
      </w:pPr>
    </w:lvl>
    <w:lvl w:ilvl="7" w:tentative="0">
      <w:start w:val="1"/>
      <w:numFmt w:val="lowerLetter"/>
      <w:lvlText w:val="%8)"/>
      <w:lvlJc w:val="left"/>
      <w:pPr>
        <w:ind w:left="4935" w:hanging="420"/>
      </w:pPr>
    </w:lvl>
    <w:lvl w:ilvl="8" w:tentative="0">
      <w:start w:val="1"/>
      <w:numFmt w:val="lowerRoman"/>
      <w:lvlText w:val="%9."/>
      <w:lvlJc w:val="right"/>
      <w:pPr>
        <w:ind w:left="5355" w:hanging="420"/>
      </w:pPr>
    </w:lvl>
  </w:abstractNum>
  <w:abstractNum w:abstractNumId="1">
    <w:nsid w:val="59099E56"/>
    <w:multiLevelType w:val="singleLevel"/>
    <w:tmpl w:val="59099E56"/>
    <w:lvl w:ilvl="0" w:tentative="0">
      <w:start w:val="1"/>
      <w:numFmt w:val="decimal"/>
      <w:suff w:val="nothing"/>
      <w:lvlText w:val="%1．"/>
      <w:lvlJc w:val="left"/>
      <w:pPr>
        <w:ind w:left="0" w:firstLine="400"/>
      </w:pPr>
      <w:rPr>
        <w:rFonts w:hint="default"/>
      </w:rPr>
    </w:lvl>
  </w:abstractNum>
  <w:abstractNum w:abstractNumId="2">
    <w:nsid w:val="59099E95"/>
    <w:multiLevelType w:val="singleLevel"/>
    <w:tmpl w:val="59099E95"/>
    <w:lvl w:ilvl="0" w:tentative="0">
      <w:start w:val="1"/>
      <w:numFmt w:val="decimal"/>
      <w:suff w:val="nothing"/>
      <w:lvlText w:val="%1．"/>
      <w:lvlJc w:val="left"/>
      <w:pPr>
        <w:ind w:left="0" w:firstLine="400"/>
      </w:pPr>
      <w:rPr>
        <w:rFonts w:hint="default"/>
      </w:rPr>
    </w:lvl>
  </w:abstractNum>
  <w:abstractNum w:abstractNumId="3">
    <w:nsid w:val="59099F23"/>
    <w:multiLevelType w:val="singleLevel"/>
    <w:tmpl w:val="59099F23"/>
    <w:lvl w:ilvl="0" w:tentative="0">
      <w:start w:val="1"/>
      <w:numFmt w:val="decimal"/>
      <w:suff w:val="nothing"/>
      <w:lvlText w:val="%1．"/>
      <w:lvlJc w:val="left"/>
      <w:pPr>
        <w:ind w:left="0" w:firstLine="400"/>
      </w:pPr>
      <w:rPr>
        <w:rFonts w:hint="default"/>
        <w:b w:val="0"/>
        <w:bCs w:val="0"/>
      </w:rPr>
    </w:lvl>
  </w:abstractNum>
  <w:abstractNum w:abstractNumId="4">
    <w:nsid w:val="5909A997"/>
    <w:multiLevelType w:val="singleLevel"/>
    <w:tmpl w:val="5909A997"/>
    <w:lvl w:ilvl="0" w:tentative="0">
      <w:start w:val="1"/>
      <w:numFmt w:val="decimal"/>
      <w:suff w:val="nothing"/>
      <w:lvlText w:val="（%1）"/>
      <w:lvlJc w:val="left"/>
      <w:pPr>
        <w:ind w:left="0" w:firstLine="420"/>
      </w:pPr>
      <w:rPr>
        <w:rFont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IxZGZhMDBjODlkYTNlZmVkYjBlN2Q2ODBiOTdjYjcifQ=="/>
  </w:docVars>
  <w:rsids>
    <w:rsidRoot w:val="00764C56"/>
    <w:rsid w:val="000A4AF5"/>
    <w:rsid w:val="001451E3"/>
    <w:rsid w:val="00236616"/>
    <w:rsid w:val="0025235E"/>
    <w:rsid w:val="002F659B"/>
    <w:rsid w:val="004B74FC"/>
    <w:rsid w:val="0061208D"/>
    <w:rsid w:val="00684FC2"/>
    <w:rsid w:val="006C60F2"/>
    <w:rsid w:val="007008DC"/>
    <w:rsid w:val="00764C56"/>
    <w:rsid w:val="007A5694"/>
    <w:rsid w:val="008A390C"/>
    <w:rsid w:val="00A04673"/>
    <w:rsid w:val="00B153D9"/>
    <w:rsid w:val="00B836D6"/>
    <w:rsid w:val="00DC40C7"/>
    <w:rsid w:val="00F619B7"/>
    <w:rsid w:val="00FA278F"/>
    <w:rsid w:val="2CAF24F4"/>
    <w:rsid w:val="52F6759D"/>
    <w:rsid w:val="56EF78A2"/>
    <w:rsid w:val="6F2271E4"/>
    <w:rsid w:val="6FF78B58"/>
    <w:rsid w:val="7BF76CAA"/>
    <w:rsid w:val="7EF3BBAD"/>
    <w:rsid w:val="7F4F9CC5"/>
    <w:rsid w:val="D3FBF49D"/>
    <w:rsid w:val="D5BB308E"/>
    <w:rsid w:val="DDBDD491"/>
    <w:rsid w:val="F687938B"/>
    <w:rsid w:val="FF9B3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脚 字符"/>
    <w:basedOn w:val="5"/>
    <w:link w:val="2"/>
    <w:qFormat/>
    <w:uiPriority w:val="99"/>
    <w:rPr>
      <w:sz w:val="18"/>
      <w:szCs w:val="18"/>
    </w:rPr>
  </w:style>
  <w:style w:type="character" w:customStyle="1" w:styleId="8">
    <w:name w:val="页眉 字符"/>
    <w:basedOn w:val="5"/>
    <w:link w:val="3"/>
    <w:qFormat/>
    <w:uiPriority w:val="99"/>
    <w:rPr>
      <w:sz w:val="18"/>
      <w:szCs w:val="18"/>
    </w:rPr>
  </w:style>
  <w:style w:type="paragraph" w:customStyle="1" w:styleId="9">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2575</Words>
  <Characters>2636</Characters>
  <Lines>19</Lines>
  <Paragraphs>5</Paragraphs>
  <TotalTime>0</TotalTime>
  <ScaleCrop>false</ScaleCrop>
  <LinksUpToDate>false</LinksUpToDate>
  <CharactersWithSpaces>2640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2019-01-18T18:38:00Z</dcterms:created>
  <dc:creator>Microsoft Office 用户</dc:creator>
  <cp:lastModifiedBy>lawyer</cp:lastModifiedBy>
  <dcterms:modified xsi:type="dcterms:W3CDTF">2024-07-25T15:56:52Z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A878BFF6DC2430D1D6BEB763BD95DE76</vt:lpwstr>
  </property>
</Properties>
</file>