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余姚亿达工具</w:t>
      </w: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en-US" w:eastAsia="zh-Hans"/>
          <w14:textFill>
            <w14:solidFill>
              <w14:schemeClr w14:val="tx1"/>
            </w14:solidFill>
          </w14:textFill>
        </w:rPr>
        <w:t>有限公司管理人</w:t>
      </w:r>
    </w:p>
    <w:p>
      <w:pPr>
        <w:spacing w:line="1000" w:lineRule="exact"/>
        <w:jc w:val="center"/>
        <w:rPr>
          <w:rFonts w:hint="eastAsia" w:ascii="宋体" w:hAnsi="宋体" w:eastAsia="宋体" w:cs="宋体"/>
          <w:b/>
          <w:bCs/>
          <w:color w:val="000000"/>
          <w:spacing w:val="60"/>
          <w:sz w:val="48"/>
          <w:szCs w:val="48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spacing w:val="60"/>
          <w:sz w:val="48"/>
          <w:szCs w:val="48"/>
          <w:lang w:val="en-US" w:eastAsia="zh-Hans"/>
        </w:rPr>
        <w:t>通知书</w:t>
      </w:r>
    </w:p>
    <w:p>
      <w:pPr>
        <w:widowControl w:val="0"/>
        <w:numPr>
          <w:ilvl w:val="0"/>
          <w:numId w:val="0"/>
        </w:numPr>
        <w:spacing w:line="500" w:lineRule="exact"/>
        <w:contextualSpacing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(2023)浙太安非事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字第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67-2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号</w:t>
      </w:r>
    </w:p>
    <w:p>
      <w:pPr>
        <w:widowControl w:val="0"/>
        <w:numPr>
          <w:ilvl w:val="0"/>
          <w:numId w:val="0"/>
        </w:numPr>
        <w:spacing w:line="500" w:lineRule="exact"/>
        <w:contextualSpacing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各债权人：</w:t>
      </w:r>
    </w:p>
    <w:p>
      <w:pPr>
        <w:widowControl w:val="0"/>
        <w:spacing w:line="500" w:lineRule="exact"/>
        <w:contextualSpacing/>
        <w:jc w:val="both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202</w:t>
      </w:r>
      <w:r>
        <w:rPr>
          <w:rFonts w:hint="default" w:ascii="宋体" w:hAnsi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sz w:val="24"/>
          <w:szCs w:val="24"/>
        </w:rPr>
        <w:t>日，</w:t>
      </w:r>
      <w:r>
        <w:rPr>
          <w:rFonts w:hint="eastAsia" w:ascii="宋体" w:hAnsi="宋体" w:cs="宋体"/>
          <w:sz w:val="24"/>
          <w:szCs w:val="24"/>
          <w:lang w:val="en-US" w:eastAsia="zh-Hans"/>
        </w:rPr>
        <w:t>余姚市</w:t>
      </w:r>
      <w:r>
        <w:rPr>
          <w:rFonts w:hint="eastAsia" w:ascii="宋体" w:hAnsi="宋体" w:eastAsia="宋体" w:cs="宋体"/>
          <w:sz w:val="24"/>
          <w:szCs w:val="24"/>
        </w:rPr>
        <w:t>人民法院作出（202</w:t>
      </w:r>
      <w:r>
        <w:rPr>
          <w:rFonts w:hint="default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）浙02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81</w:t>
      </w:r>
      <w:r>
        <w:rPr>
          <w:rFonts w:hint="eastAsia" w:ascii="宋体" w:hAnsi="宋体" w:eastAsia="宋体" w:cs="宋体"/>
          <w:sz w:val="24"/>
          <w:szCs w:val="24"/>
        </w:rPr>
        <w:t>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申23</w:t>
      </w:r>
      <w:r>
        <w:rPr>
          <w:rFonts w:hint="eastAsia" w:ascii="宋体" w:hAnsi="宋体" w:eastAsia="宋体" w:cs="宋体"/>
          <w:sz w:val="24"/>
          <w:szCs w:val="24"/>
        </w:rPr>
        <w:t>号《民事裁定书》，裁定受理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余姚亿达工具</w:t>
      </w:r>
      <w:r>
        <w:rPr>
          <w:rFonts w:hint="eastAsia" w:ascii="宋体" w:hAnsi="宋体" w:eastAsia="宋体" w:cs="宋体"/>
          <w:sz w:val="24"/>
          <w:szCs w:val="24"/>
        </w:rPr>
        <w:t>有限公司破产清算一案，并于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同日</w:t>
      </w:r>
      <w:r>
        <w:rPr>
          <w:rFonts w:hint="eastAsia" w:ascii="宋体" w:hAnsi="宋体" w:eastAsia="宋体" w:cs="宋体"/>
          <w:sz w:val="24"/>
          <w:szCs w:val="24"/>
        </w:rPr>
        <w:t>指定浙江太安律师事务所为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余姚亿达工具</w:t>
      </w:r>
      <w:r>
        <w:rPr>
          <w:rFonts w:hint="eastAsia" w:ascii="宋体" w:hAnsi="宋体" w:eastAsia="宋体" w:cs="宋体"/>
          <w:sz w:val="24"/>
          <w:szCs w:val="24"/>
        </w:rPr>
        <w:t>有限公司管理人。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现管理人就相关事项通知如下：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一、债权申报事项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1.申报时间：截止2023年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日；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2.申报地点：浙江省宁波市鄞州区嘉会街288号宁波中心大厦32楼；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3.联系方式：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马继军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13566057793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； 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债权申报资料下载地址：www.taianlawfirm.com，进入页面后，选择“公示公告”，或关注“浙江太安律师事务所”微信公众号，选择“更多服务”项下“公告通知”，选择相关债权项目，点击通知项下“债权申报资料”进行下载；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5.其他注意事项：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1）债权人申报债权时需要书面说明债权数额、有无财产担保及是否属于连带债权。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）未在上述期限内申报债权的，可以在破产财产分配方案提交债权人会议讨论前补充申报，但对此前已进行的分配无权要求补充分配，同时要承担为审查和确认补充申报债权所产生的费用。未申报债权的，不得依照《中华人民共和国企业破产法》规定的程序行使权利。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二、第一次债权人会议事项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1.会议时间：2023年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开始；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2.会议地址：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余姚市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人民法院第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审判庭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（余姚市谭家岭西路140号</w:t>
      </w:r>
      <w:r>
        <w:rPr>
          <w:rFonts w:hint="default" w:ascii="宋体" w:hAnsi="宋体" w:eastAsia="宋体" w:cs="宋体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3.参会人员：依法申报债权的债权人等；</w:t>
      </w:r>
    </w:p>
    <w:p>
      <w:pPr>
        <w:spacing w:line="500" w:lineRule="exact"/>
        <w:ind w:firstLine="56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其他注意事项：参加会议的债权人系自然人的，应提交个人身份证明。参加会议的债权人系法人或其他组织的，应提交营业执照、法定代表人或负责人身份证明书。如委托代理人出席会议，应提交特别授权委托书、委托代理人的身份证件或律师执业证，委托代理人是律师的还应提交律师事务所的指派函。</w:t>
      </w:r>
    </w:p>
    <w:p>
      <w:pPr>
        <w:spacing w:line="500" w:lineRule="exact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特此通知。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余姚亿达工具</w:t>
      </w:r>
      <w:r>
        <w:rPr>
          <w:rFonts w:hint="eastAsia" w:ascii="宋体" w:hAnsi="宋体" w:eastAsia="宋体" w:cs="宋体"/>
          <w:sz w:val="24"/>
          <w:szCs w:val="24"/>
        </w:rPr>
        <w:t>有限公司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管理人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二〇二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>
      <w:pPr>
        <w:spacing w:line="500" w:lineRule="exact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 w:val="0"/>
        <w:spacing w:line="500" w:lineRule="exact"/>
        <w:ind w:firstLine="700"/>
        <w:contextualSpacing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ind w:firstLine="700"/>
        <w:contextualSpacing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ongti SC Regular">
    <w:altName w:val="宋体"/>
    <w:panose1 w:val="02010600040101010101"/>
    <w:charset w:val="86"/>
    <w:family w:val="auto"/>
    <w:pitch w:val="default"/>
    <w:sig w:usb0="00000000" w:usb1="00000000" w:usb2="00000000" w:usb3="00000000" w:csb0="0016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Songti SC Regular" w:hAnsi="Songti SC Regular" w:eastAsia="Songti SC Regular" w:cs="Songti SC Regular"/>
        <w:lang w:val="en-US" w:eastAsia="zh-Hans"/>
      </w:rPr>
    </w:pPr>
    <w:r>
      <w:rPr>
        <w:rFonts w:hint="eastAsia" w:ascii="Songti SC Regular" w:hAnsi="Songti SC Regular" w:eastAsia="Songti SC Regular" w:cs="Songti SC Regular"/>
        <w:lang w:val="en-US" w:eastAsia="zh-CN"/>
      </w:rPr>
      <w:t>余姚亿达工具</w:t>
    </w:r>
    <w:r>
      <w:rPr>
        <w:rFonts w:hint="eastAsia" w:ascii="Songti SC Regular" w:hAnsi="Songti SC Regular" w:eastAsia="Songti SC Regular" w:cs="Songti SC Regular"/>
        <w:lang w:val="en-US" w:eastAsia="zh-Hans"/>
      </w:rPr>
      <w:t>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jMTJlMTU1YTQ3ZDcwMzcyNTM2NTU1MzExNjlkNTAifQ=="/>
  </w:docVars>
  <w:rsids>
    <w:rsidRoot w:val="00E72BA5"/>
    <w:rsid w:val="0001555F"/>
    <w:rsid w:val="00063918"/>
    <w:rsid w:val="000B0E1A"/>
    <w:rsid w:val="00142CB2"/>
    <w:rsid w:val="00252C5D"/>
    <w:rsid w:val="004447A3"/>
    <w:rsid w:val="00457D6D"/>
    <w:rsid w:val="00493928"/>
    <w:rsid w:val="004A39B1"/>
    <w:rsid w:val="00572EB1"/>
    <w:rsid w:val="006646FC"/>
    <w:rsid w:val="0068079C"/>
    <w:rsid w:val="006A68A2"/>
    <w:rsid w:val="007C163E"/>
    <w:rsid w:val="008350C7"/>
    <w:rsid w:val="008624F9"/>
    <w:rsid w:val="0089767A"/>
    <w:rsid w:val="008A390C"/>
    <w:rsid w:val="0091341A"/>
    <w:rsid w:val="00974297"/>
    <w:rsid w:val="00A04673"/>
    <w:rsid w:val="00AD375A"/>
    <w:rsid w:val="00B80154"/>
    <w:rsid w:val="00C01FBE"/>
    <w:rsid w:val="00C2307B"/>
    <w:rsid w:val="00C921D2"/>
    <w:rsid w:val="00D126C5"/>
    <w:rsid w:val="00DB5035"/>
    <w:rsid w:val="00E61645"/>
    <w:rsid w:val="00E72BA5"/>
    <w:rsid w:val="059D75E8"/>
    <w:rsid w:val="151E374E"/>
    <w:rsid w:val="3FDFC06D"/>
    <w:rsid w:val="49BC17AC"/>
    <w:rsid w:val="9FBFAA5C"/>
    <w:rsid w:val="C6FF2B83"/>
    <w:rsid w:val="CFBF8125"/>
    <w:rsid w:val="DFBB3AC9"/>
    <w:rsid w:val="FA7B974E"/>
    <w:rsid w:val="FF39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690</Words>
  <Characters>764</Characters>
  <Lines>5</Lines>
  <Paragraphs>1</Paragraphs>
  <TotalTime>4</TotalTime>
  <ScaleCrop>false</ScaleCrop>
  <LinksUpToDate>false</LinksUpToDate>
  <CharactersWithSpaces>788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2020-11-04T10:39:00Z</dcterms:created>
  <dc:creator>Microsoft Office User</dc:creator>
  <cp:lastModifiedBy>保德望</cp:lastModifiedBy>
  <cp:lastPrinted>2020-11-05T06:23:00Z</cp:lastPrinted>
  <dcterms:modified xsi:type="dcterms:W3CDTF">2023-08-04T04:34:40Z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AD625D9B0FB7F3E80A72B763946260C1</vt:lpwstr>
  </property>
</Properties>
</file>